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9087C" w14:textId="77777777" w:rsidR="00D556FA" w:rsidRPr="004C6F93" w:rsidRDefault="00D556FA" w:rsidP="00D556FA">
      <w:pPr>
        <w:pStyle w:val="paragraph"/>
        <w:spacing w:before="0" w:beforeAutospacing="0" w:after="0" w:afterAutospacing="0"/>
        <w:jc w:val="right"/>
        <w:textAlignment w:val="baseline"/>
        <w:rPr>
          <w:rFonts w:ascii="Calibri" w:hAnsi="Calibri" w:cs="Calibri"/>
          <w:sz w:val="28"/>
          <w:szCs w:val="28"/>
        </w:rPr>
      </w:pPr>
      <w:r w:rsidRPr="004C6F93">
        <w:rPr>
          <w:rStyle w:val="normaltextrun"/>
          <w:rFonts w:ascii="Calibri" w:hAnsi="Calibri" w:cs="Calibri"/>
          <w:b/>
          <w:bCs/>
          <w:sz w:val="28"/>
          <w:szCs w:val="28"/>
        </w:rPr>
        <w:t>Tuition</w:t>
      </w:r>
      <w:r w:rsidRPr="004C6F93">
        <w:rPr>
          <w:rStyle w:val="apple-converted-space"/>
          <w:rFonts w:ascii="Calibri" w:hAnsi="Calibri" w:cs="Calibri"/>
          <w:b/>
          <w:bCs/>
          <w:sz w:val="28"/>
          <w:szCs w:val="28"/>
        </w:rPr>
        <w:t> </w:t>
      </w:r>
      <w:r w:rsidRPr="004C6F93">
        <w:rPr>
          <w:rStyle w:val="normaltextrun"/>
          <w:rFonts w:ascii="Calibri" w:hAnsi="Calibri" w:cs="Calibri"/>
          <w:b/>
          <w:bCs/>
          <w:sz w:val="28"/>
          <w:szCs w:val="28"/>
        </w:rPr>
        <w:t>and Fee</w:t>
      </w:r>
      <w:r w:rsidRPr="004C6F93">
        <w:rPr>
          <w:rStyle w:val="apple-converted-space"/>
          <w:rFonts w:ascii="Calibri" w:hAnsi="Calibri" w:cs="Calibri"/>
          <w:b/>
          <w:bCs/>
          <w:sz w:val="28"/>
          <w:szCs w:val="28"/>
        </w:rPr>
        <w:t> </w:t>
      </w:r>
      <w:r w:rsidRPr="004C6F93">
        <w:rPr>
          <w:rStyle w:val="normaltextrun"/>
          <w:rFonts w:ascii="Calibri" w:hAnsi="Calibri" w:cs="Calibri"/>
          <w:b/>
          <w:bCs/>
          <w:sz w:val="28"/>
          <w:szCs w:val="28"/>
        </w:rPr>
        <w:t>Advisory Board of</w:t>
      </w:r>
      <w:r w:rsidRPr="004C6F93">
        <w:rPr>
          <w:rStyle w:val="apple-converted-space"/>
          <w:rFonts w:ascii="Calibri" w:hAnsi="Calibri" w:cs="Calibri"/>
          <w:b/>
          <w:bCs/>
          <w:sz w:val="28"/>
          <w:szCs w:val="28"/>
        </w:rPr>
        <w:t> </w:t>
      </w:r>
      <w:r w:rsidRPr="004C6F93">
        <w:rPr>
          <w:rStyle w:val="normaltextrun"/>
          <w:rFonts w:ascii="Calibri" w:hAnsi="Calibri" w:cs="Calibri"/>
          <w:b/>
          <w:bCs/>
          <w:sz w:val="28"/>
          <w:szCs w:val="28"/>
        </w:rPr>
        <w:t>the University of Oregon</w:t>
      </w:r>
      <w:r w:rsidRPr="004C6F93">
        <w:rPr>
          <w:rStyle w:val="eop"/>
          <w:rFonts w:ascii="Calibri" w:hAnsi="Calibri" w:cs="Calibri"/>
          <w:sz w:val="28"/>
          <w:szCs w:val="28"/>
        </w:rPr>
        <w:t> </w:t>
      </w:r>
    </w:p>
    <w:p w14:paraId="45A76AF7" w14:textId="3C8F59C0" w:rsidR="00D556FA" w:rsidRPr="004C6F93" w:rsidRDefault="00D556FA" w:rsidP="00D556FA">
      <w:pPr>
        <w:pStyle w:val="paragraph"/>
        <w:pBdr>
          <w:bottom w:val="single" w:sz="6" w:space="1" w:color="auto"/>
        </w:pBdr>
        <w:spacing w:before="0" w:beforeAutospacing="0" w:after="0" w:afterAutospacing="0"/>
        <w:jc w:val="right"/>
        <w:textAlignment w:val="baseline"/>
        <w:rPr>
          <w:rStyle w:val="eop"/>
          <w:rFonts w:ascii="Calibri" w:hAnsi="Calibri" w:cs="Calibri"/>
          <w:sz w:val="28"/>
          <w:szCs w:val="28"/>
        </w:rPr>
      </w:pPr>
      <w:r w:rsidRPr="004C6F93">
        <w:rPr>
          <w:rStyle w:val="normaltextrun"/>
          <w:rFonts w:ascii="Calibri" w:hAnsi="Calibri" w:cs="Calibri"/>
          <w:b/>
          <w:bCs/>
          <w:sz w:val="28"/>
          <w:szCs w:val="28"/>
        </w:rPr>
        <w:t xml:space="preserve">Meeting Summary | October </w:t>
      </w:r>
      <w:r w:rsidR="00D11E1E">
        <w:rPr>
          <w:rStyle w:val="normaltextrun"/>
          <w:rFonts w:ascii="Calibri" w:hAnsi="Calibri" w:cs="Calibri"/>
          <w:b/>
          <w:bCs/>
          <w:sz w:val="28"/>
          <w:szCs w:val="28"/>
        </w:rPr>
        <w:t>23</w:t>
      </w:r>
      <w:r w:rsidRPr="004C6F93">
        <w:rPr>
          <w:rStyle w:val="normaltextrun"/>
          <w:rFonts w:ascii="Calibri" w:hAnsi="Calibri" w:cs="Calibri"/>
          <w:b/>
          <w:bCs/>
          <w:sz w:val="28"/>
          <w:szCs w:val="28"/>
        </w:rPr>
        <w:t>, 202</w:t>
      </w:r>
      <w:r w:rsidR="00D11E1E">
        <w:rPr>
          <w:rStyle w:val="normaltextrun"/>
          <w:rFonts w:ascii="Calibri" w:hAnsi="Calibri" w:cs="Calibri"/>
          <w:b/>
          <w:bCs/>
          <w:sz w:val="28"/>
          <w:szCs w:val="28"/>
        </w:rPr>
        <w:t>6</w:t>
      </w:r>
      <w:r w:rsidRPr="004C6F93">
        <w:rPr>
          <w:rStyle w:val="eop"/>
          <w:rFonts w:ascii="Calibri" w:hAnsi="Calibri" w:cs="Calibri"/>
          <w:sz w:val="28"/>
          <w:szCs w:val="28"/>
        </w:rPr>
        <w:t> </w:t>
      </w:r>
    </w:p>
    <w:p w14:paraId="42BF718D" w14:textId="77777777" w:rsidR="00D556FA" w:rsidRPr="00DB59C0" w:rsidRDefault="00D556FA" w:rsidP="00D556FA">
      <w:pPr>
        <w:pStyle w:val="paragraph"/>
        <w:spacing w:before="0" w:beforeAutospacing="0" w:after="0" w:afterAutospacing="0"/>
        <w:jc w:val="both"/>
        <w:textAlignment w:val="baseline"/>
        <w:rPr>
          <w:rFonts w:ascii="Calibri" w:hAnsi="Calibri" w:cs="Calibri"/>
          <w:sz w:val="20"/>
        </w:rPr>
      </w:pPr>
      <w:r w:rsidRPr="00DB59C0">
        <w:rPr>
          <w:rStyle w:val="eop"/>
          <w:rFonts w:ascii="Calibri" w:hAnsi="Calibri" w:cs="Calibri"/>
          <w:sz w:val="20"/>
        </w:rPr>
        <w:t> </w:t>
      </w:r>
    </w:p>
    <w:p w14:paraId="4031A813" w14:textId="4A230F72" w:rsidR="00D556FA" w:rsidRDefault="00D556FA" w:rsidP="00C76F83">
      <w:pPr>
        <w:rPr>
          <w:rFonts w:ascii="Calibri" w:eastAsia="Calibri" w:hAnsi="Calibri" w:cs="Calibri"/>
          <w:bCs/>
          <w:sz w:val="24"/>
          <w:szCs w:val="24"/>
        </w:rPr>
      </w:pPr>
      <w:r w:rsidRPr="008879F4">
        <w:rPr>
          <w:rFonts w:ascii="Calibri" w:eastAsia="Calibri" w:hAnsi="Calibri" w:cs="Calibri"/>
          <w:bCs/>
          <w:sz w:val="24"/>
          <w:szCs w:val="24"/>
        </w:rPr>
        <w:t>The 202</w:t>
      </w:r>
      <w:r w:rsidR="00D11E1E">
        <w:rPr>
          <w:rFonts w:ascii="Calibri" w:eastAsia="Calibri" w:hAnsi="Calibri" w:cs="Calibri"/>
          <w:bCs/>
          <w:sz w:val="24"/>
          <w:szCs w:val="24"/>
        </w:rPr>
        <w:t>6</w:t>
      </w:r>
      <w:r w:rsidRPr="008879F4">
        <w:rPr>
          <w:rFonts w:ascii="Calibri" w:eastAsia="Calibri" w:hAnsi="Calibri" w:cs="Calibri"/>
          <w:bCs/>
          <w:sz w:val="24"/>
          <w:szCs w:val="24"/>
        </w:rPr>
        <w:t>–20</w:t>
      </w:r>
      <w:r w:rsidR="00D11E1E">
        <w:rPr>
          <w:rFonts w:ascii="Calibri" w:eastAsia="Calibri" w:hAnsi="Calibri" w:cs="Calibri"/>
          <w:bCs/>
          <w:sz w:val="24"/>
          <w:szCs w:val="24"/>
        </w:rPr>
        <w:t>27</w:t>
      </w:r>
      <w:r w:rsidRPr="008879F4">
        <w:rPr>
          <w:rFonts w:ascii="Calibri" w:eastAsia="Calibri" w:hAnsi="Calibri" w:cs="Calibri"/>
          <w:bCs/>
          <w:sz w:val="24"/>
          <w:szCs w:val="24"/>
        </w:rPr>
        <w:t xml:space="preserve"> Tuition and Fee Advisory Board (TFAB) of the University of Oregon met in room </w:t>
      </w:r>
      <w:r w:rsidR="001A67D5">
        <w:rPr>
          <w:rFonts w:ascii="Calibri" w:eastAsia="Calibri" w:hAnsi="Calibri" w:cs="Calibri"/>
          <w:bCs/>
          <w:sz w:val="24"/>
          <w:szCs w:val="24"/>
        </w:rPr>
        <w:t xml:space="preserve">107 </w:t>
      </w:r>
      <w:r w:rsidRPr="008879F4">
        <w:rPr>
          <w:rFonts w:ascii="Calibri" w:eastAsia="Calibri" w:hAnsi="Calibri" w:cs="Calibri"/>
          <w:bCs/>
          <w:sz w:val="24"/>
          <w:szCs w:val="24"/>
        </w:rPr>
        <w:t xml:space="preserve">of </w:t>
      </w:r>
      <w:r w:rsidR="001A67D5">
        <w:rPr>
          <w:rFonts w:ascii="Calibri" w:eastAsia="Calibri" w:hAnsi="Calibri" w:cs="Calibri"/>
          <w:bCs/>
          <w:sz w:val="24"/>
          <w:szCs w:val="24"/>
        </w:rPr>
        <w:t xml:space="preserve">the Erb Memorial Union (EMU) </w:t>
      </w:r>
      <w:r w:rsidRPr="008879F4">
        <w:rPr>
          <w:rFonts w:ascii="Calibri" w:eastAsia="Calibri" w:hAnsi="Calibri" w:cs="Calibri"/>
          <w:bCs/>
          <w:sz w:val="24"/>
          <w:szCs w:val="24"/>
        </w:rPr>
        <w:t xml:space="preserve">at </w:t>
      </w:r>
      <w:r w:rsidR="00D11E1E">
        <w:rPr>
          <w:rFonts w:ascii="Calibri" w:eastAsia="Calibri" w:hAnsi="Calibri" w:cs="Calibri"/>
          <w:bCs/>
          <w:sz w:val="24"/>
          <w:szCs w:val="24"/>
        </w:rPr>
        <w:t>2</w:t>
      </w:r>
      <w:r w:rsidRPr="008879F4">
        <w:rPr>
          <w:rFonts w:ascii="Calibri" w:eastAsia="Calibri" w:hAnsi="Calibri" w:cs="Calibri"/>
          <w:bCs/>
          <w:sz w:val="24"/>
          <w:szCs w:val="24"/>
        </w:rPr>
        <w:t xml:space="preserve">:00 </w:t>
      </w:r>
      <w:r w:rsidR="00D11E1E">
        <w:rPr>
          <w:rFonts w:ascii="Calibri" w:eastAsia="Calibri" w:hAnsi="Calibri" w:cs="Calibri"/>
          <w:bCs/>
          <w:sz w:val="24"/>
          <w:szCs w:val="24"/>
        </w:rPr>
        <w:t>p</w:t>
      </w:r>
      <w:r w:rsidRPr="008879F4">
        <w:rPr>
          <w:rFonts w:ascii="Calibri" w:eastAsia="Calibri" w:hAnsi="Calibri" w:cs="Calibri"/>
          <w:bCs/>
          <w:sz w:val="24"/>
          <w:szCs w:val="24"/>
        </w:rPr>
        <w:t xml:space="preserve">.m. on </w:t>
      </w:r>
      <w:r w:rsidR="00D11E1E">
        <w:rPr>
          <w:rFonts w:ascii="Calibri" w:eastAsia="Calibri" w:hAnsi="Calibri" w:cs="Calibri"/>
          <w:bCs/>
          <w:sz w:val="24"/>
          <w:szCs w:val="24"/>
        </w:rPr>
        <w:t>Friday</w:t>
      </w:r>
      <w:r w:rsidRPr="008879F4">
        <w:rPr>
          <w:rFonts w:ascii="Calibri" w:eastAsia="Calibri" w:hAnsi="Calibri" w:cs="Calibri"/>
          <w:bCs/>
          <w:sz w:val="24"/>
          <w:szCs w:val="24"/>
        </w:rPr>
        <w:t>, October</w:t>
      </w:r>
      <w:r w:rsidR="00C76F83">
        <w:rPr>
          <w:rFonts w:ascii="Calibri" w:eastAsia="Calibri" w:hAnsi="Calibri" w:cs="Calibri"/>
          <w:bCs/>
          <w:sz w:val="24"/>
          <w:szCs w:val="24"/>
        </w:rPr>
        <w:t xml:space="preserve"> </w:t>
      </w:r>
      <w:r w:rsidR="00D11E1E">
        <w:rPr>
          <w:rFonts w:ascii="Calibri" w:eastAsia="Calibri" w:hAnsi="Calibri" w:cs="Calibri"/>
          <w:bCs/>
          <w:sz w:val="24"/>
          <w:szCs w:val="24"/>
        </w:rPr>
        <w:t>23</w:t>
      </w:r>
      <w:r w:rsidRPr="008879F4">
        <w:rPr>
          <w:rFonts w:ascii="Calibri" w:eastAsia="Calibri" w:hAnsi="Calibri" w:cs="Calibri"/>
          <w:bCs/>
          <w:sz w:val="24"/>
          <w:szCs w:val="24"/>
        </w:rPr>
        <w:t>, 202</w:t>
      </w:r>
      <w:r w:rsidR="00D11E1E">
        <w:rPr>
          <w:rFonts w:ascii="Calibri" w:eastAsia="Calibri" w:hAnsi="Calibri" w:cs="Calibri"/>
          <w:bCs/>
          <w:sz w:val="24"/>
          <w:szCs w:val="24"/>
        </w:rPr>
        <w:t>6</w:t>
      </w:r>
      <w:r w:rsidRPr="008879F4">
        <w:rPr>
          <w:rFonts w:ascii="Calibri" w:eastAsia="Calibri" w:hAnsi="Calibri" w:cs="Calibri"/>
          <w:bCs/>
          <w:sz w:val="24"/>
          <w:szCs w:val="24"/>
        </w:rPr>
        <w:t xml:space="preserve">. Below is a summary of the meeting; documents discussed during the session are available </w:t>
      </w:r>
      <w:hyperlink r:id="rId7" w:anchor="Oct23" w:history="1">
        <w:r w:rsidRPr="008879F4">
          <w:rPr>
            <w:rStyle w:val="Hyperlink"/>
            <w:rFonts w:ascii="Calibri" w:eastAsia="Calibri" w:hAnsi="Calibri" w:cs="Calibri"/>
            <w:bCs/>
            <w:sz w:val="24"/>
            <w:szCs w:val="24"/>
          </w:rPr>
          <w:t>online</w:t>
        </w:r>
      </w:hyperlink>
      <w:r w:rsidRPr="008879F4">
        <w:rPr>
          <w:rFonts w:ascii="Calibri" w:eastAsia="Calibri" w:hAnsi="Calibri" w:cs="Calibri"/>
          <w:bCs/>
          <w:sz w:val="24"/>
          <w:szCs w:val="24"/>
        </w:rPr>
        <w:t>.</w:t>
      </w:r>
    </w:p>
    <w:p w14:paraId="23315663" w14:textId="0FA01098" w:rsidR="00D11E1E" w:rsidRDefault="00D556FA" w:rsidP="0096180A">
      <w:pPr>
        <w:rPr>
          <w:rFonts w:cs="Times New Roman"/>
          <w:sz w:val="24"/>
          <w:szCs w:val="24"/>
        </w:rPr>
      </w:pPr>
      <w:r w:rsidRPr="0096180A">
        <w:rPr>
          <w:rFonts w:cs="Times New Roman"/>
          <w:b/>
          <w:sz w:val="24"/>
          <w:szCs w:val="24"/>
        </w:rPr>
        <w:t>Attending</w:t>
      </w:r>
      <w:r w:rsidRPr="0096180A">
        <w:rPr>
          <w:rFonts w:cs="Times New Roman"/>
          <w:sz w:val="24"/>
          <w:szCs w:val="24"/>
        </w:rPr>
        <w:t>:</w:t>
      </w:r>
      <w:r w:rsidR="00D11E1E">
        <w:rPr>
          <w:rFonts w:cs="Times New Roman"/>
          <w:sz w:val="24"/>
          <w:szCs w:val="24"/>
        </w:rPr>
        <w:t xml:space="preserve"> </w:t>
      </w:r>
      <w:r w:rsidR="00D11E1E" w:rsidRPr="00D11E1E">
        <w:rPr>
          <w:rFonts w:cs="Times New Roman"/>
          <w:sz w:val="24"/>
          <w:szCs w:val="24"/>
        </w:rPr>
        <w:t xml:space="preserve">Justin Begley, Krista Borg, Jason Brown, Anna Clark (guest), Kellen Cranmer, Mark Diestler, Renée Dorjahn, Brian Fox, </w:t>
      </w:r>
      <w:proofErr w:type="spellStart"/>
      <w:r w:rsidR="00D11E1E" w:rsidRPr="00D11E1E">
        <w:rPr>
          <w:rFonts w:cs="Times New Roman"/>
          <w:sz w:val="24"/>
          <w:szCs w:val="24"/>
        </w:rPr>
        <w:t>Quadrian</w:t>
      </w:r>
      <w:proofErr w:type="spellEnd"/>
      <w:r w:rsidR="00D11E1E" w:rsidRPr="00D11E1E">
        <w:rPr>
          <w:rFonts w:cs="Times New Roman"/>
          <w:sz w:val="24"/>
          <w:szCs w:val="24"/>
        </w:rPr>
        <w:t xml:space="preserve"> Gill, Heather Gustafson, Austin Hocker (guest), Jaewoo Kim, Kristy Larson, Angela Lauer Chong (co-chair), Bruce McGough, Jamie Moffitt (co-chair), </w:t>
      </w:r>
      <w:r w:rsidR="001F0681">
        <w:rPr>
          <w:rFonts w:cs="Times New Roman"/>
          <w:sz w:val="24"/>
          <w:szCs w:val="24"/>
        </w:rPr>
        <w:t xml:space="preserve">and </w:t>
      </w:r>
      <w:r w:rsidR="00D11E1E" w:rsidRPr="00D11E1E">
        <w:rPr>
          <w:rFonts w:cs="Times New Roman"/>
          <w:sz w:val="24"/>
          <w:szCs w:val="24"/>
        </w:rPr>
        <w:t>JP Monroe</w:t>
      </w:r>
      <w:r w:rsidR="001F0681">
        <w:rPr>
          <w:rFonts w:cs="Times New Roman"/>
          <w:sz w:val="24"/>
          <w:szCs w:val="24"/>
        </w:rPr>
        <w:t>.</w:t>
      </w:r>
    </w:p>
    <w:p w14:paraId="51E6F57D" w14:textId="0440085D" w:rsidR="001F0681" w:rsidRDefault="001F0681" w:rsidP="001F0681">
      <w:pPr>
        <w:rPr>
          <w:rFonts w:cs="Times New Roman"/>
          <w:sz w:val="24"/>
          <w:szCs w:val="24"/>
        </w:rPr>
      </w:pPr>
      <w:r w:rsidRPr="008879F4">
        <w:rPr>
          <w:rFonts w:cs="Times New Roman"/>
          <w:b/>
          <w:sz w:val="24"/>
          <w:szCs w:val="24"/>
        </w:rPr>
        <w:t>Staff</w:t>
      </w:r>
      <w:r w:rsidRPr="008879F4">
        <w:rPr>
          <w:rFonts w:cs="Times New Roman"/>
          <w:sz w:val="24"/>
          <w:szCs w:val="24"/>
        </w:rPr>
        <w:t xml:space="preserve">: Debbie Sharp (Office of the </w:t>
      </w:r>
      <w:r>
        <w:rPr>
          <w:rFonts w:cs="Times New Roman"/>
          <w:sz w:val="24"/>
          <w:szCs w:val="24"/>
        </w:rPr>
        <w:t>S</w:t>
      </w:r>
      <w:r w:rsidRPr="008879F4">
        <w:rPr>
          <w:rFonts w:cs="Times New Roman"/>
          <w:sz w:val="24"/>
          <w:szCs w:val="24"/>
        </w:rPr>
        <w:t>enior VPFA)</w:t>
      </w:r>
      <w:r w:rsidR="0042662F">
        <w:rPr>
          <w:rFonts w:cs="Times New Roman"/>
          <w:sz w:val="24"/>
          <w:szCs w:val="24"/>
        </w:rPr>
        <w:t>.</w:t>
      </w:r>
    </w:p>
    <w:p w14:paraId="542C2F91" w14:textId="75CB7FD8" w:rsidR="006837E9" w:rsidRDefault="00506832" w:rsidP="00506832">
      <w:pPr>
        <w:rPr>
          <w:rFonts w:ascii="Calibri" w:eastAsia="Calibri" w:hAnsi="Calibri" w:cs="Calibri"/>
          <w:bCs/>
          <w:sz w:val="24"/>
          <w:szCs w:val="24"/>
        </w:rPr>
      </w:pPr>
      <w:r>
        <w:rPr>
          <w:rFonts w:ascii="Calibri" w:eastAsia="Calibri" w:hAnsi="Calibri" w:cs="Calibri"/>
          <w:b/>
          <w:sz w:val="24"/>
          <w:szCs w:val="24"/>
        </w:rPr>
        <w:t>M</w:t>
      </w:r>
      <w:r w:rsidR="001F0681">
        <w:rPr>
          <w:rFonts w:ascii="Calibri" w:eastAsia="Calibri" w:hAnsi="Calibri" w:cs="Calibri"/>
          <w:b/>
          <w:sz w:val="24"/>
          <w:szCs w:val="24"/>
        </w:rPr>
        <w:t>embership</w:t>
      </w:r>
      <w:r>
        <w:rPr>
          <w:rFonts w:ascii="Calibri" w:eastAsia="Calibri" w:hAnsi="Calibri" w:cs="Calibri"/>
          <w:b/>
          <w:sz w:val="24"/>
          <w:szCs w:val="24"/>
        </w:rPr>
        <w:t xml:space="preserve"> and process schedule</w:t>
      </w:r>
      <w:r w:rsidR="001F0681" w:rsidRPr="004C6F93">
        <w:rPr>
          <w:rFonts w:ascii="Calibri" w:eastAsia="Calibri" w:hAnsi="Calibri" w:cs="Calibri"/>
          <w:bCs/>
          <w:sz w:val="24"/>
          <w:szCs w:val="24"/>
        </w:rPr>
        <w:t xml:space="preserve">. </w:t>
      </w:r>
      <w:r w:rsidR="001F0681">
        <w:rPr>
          <w:rFonts w:ascii="Calibri" w:eastAsia="Calibri" w:hAnsi="Calibri" w:cs="Calibri"/>
          <w:bCs/>
          <w:sz w:val="24"/>
          <w:szCs w:val="24"/>
        </w:rPr>
        <w:t xml:space="preserve"> </w:t>
      </w:r>
      <w:r w:rsidR="001F0681" w:rsidRPr="001F0681">
        <w:rPr>
          <w:rFonts w:ascii="Calibri" w:eastAsia="Calibri" w:hAnsi="Calibri" w:cs="Calibri"/>
          <w:bCs/>
          <w:sz w:val="24"/>
          <w:szCs w:val="24"/>
        </w:rPr>
        <w:t>Angela Lauer Chong, vice president for s</w:t>
      </w:r>
      <w:r w:rsidR="001F0681">
        <w:rPr>
          <w:rFonts w:ascii="Calibri" w:eastAsia="Calibri" w:hAnsi="Calibri" w:cs="Calibri"/>
          <w:bCs/>
          <w:sz w:val="24"/>
          <w:szCs w:val="24"/>
        </w:rPr>
        <w:t xml:space="preserve">tudent life, welcomed the group and thanked them for their service. She then asked everyone present to introduce themselves. Chong </w:t>
      </w:r>
      <w:r>
        <w:rPr>
          <w:rFonts w:ascii="Calibri" w:eastAsia="Calibri" w:hAnsi="Calibri" w:cs="Calibri"/>
          <w:bCs/>
          <w:sz w:val="24"/>
          <w:szCs w:val="24"/>
        </w:rPr>
        <w:t xml:space="preserve">reviewed the membership list (available </w:t>
      </w:r>
      <w:hyperlink r:id="rId8" w:anchor="Oct23" w:history="1">
        <w:r w:rsidRPr="00506832">
          <w:rPr>
            <w:rStyle w:val="Hyperlink"/>
            <w:rFonts w:ascii="Calibri" w:eastAsia="Calibri" w:hAnsi="Calibri" w:cs="Calibri"/>
            <w:bCs/>
            <w:sz w:val="24"/>
            <w:szCs w:val="24"/>
          </w:rPr>
          <w:t>online</w:t>
        </w:r>
      </w:hyperlink>
      <w:r>
        <w:rPr>
          <w:rFonts w:ascii="Calibri" w:eastAsia="Calibri" w:hAnsi="Calibri" w:cs="Calibri"/>
          <w:bCs/>
          <w:sz w:val="24"/>
          <w:szCs w:val="24"/>
        </w:rPr>
        <w:t>), noting the absence of a few members and emphasizing that make-up sessions are available to members who miss fall term meetings.</w:t>
      </w:r>
    </w:p>
    <w:p w14:paraId="05451434" w14:textId="7D65F9D8" w:rsidR="00506832" w:rsidRDefault="00506832" w:rsidP="00506832">
      <w:pPr>
        <w:rPr>
          <w:rFonts w:ascii="Calibri" w:eastAsia="Calibri" w:hAnsi="Calibri" w:cs="Calibri"/>
          <w:bCs/>
          <w:sz w:val="24"/>
          <w:szCs w:val="24"/>
        </w:rPr>
      </w:pPr>
      <w:r>
        <w:rPr>
          <w:rFonts w:ascii="Calibri" w:eastAsia="Calibri" w:hAnsi="Calibri" w:cs="Calibri"/>
          <w:bCs/>
          <w:sz w:val="24"/>
          <w:szCs w:val="24"/>
        </w:rPr>
        <w:t xml:space="preserve">Chong went on to review the process schedule, which details the four </w:t>
      </w:r>
      <w:r w:rsidR="0042662F">
        <w:rPr>
          <w:rFonts w:ascii="Calibri" w:eastAsia="Calibri" w:hAnsi="Calibri" w:cs="Calibri"/>
          <w:bCs/>
          <w:sz w:val="24"/>
          <w:szCs w:val="24"/>
        </w:rPr>
        <w:t xml:space="preserve">fall </w:t>
      </w:r>
      <w:r>
        <w:rPr>
          <w:rFonts w:ascii="Calibri" w:eastAsia="Calibri" w:hAnsi="Calibri" w:cs="Calibri"/>
          <w:bCs/>
          <w:sz w:val="24"/>
          <w:szCs w:val="24"/>
        </w:rPr>
        <w:t xml:space="preserve">meetings and provides an overview of the anticipated weekly meetings in winter term. She noted that </w:t>
      </w:r>
      <w:r w:rsidR="00E6598A">
        <w:rPr>
          <w:rFonts w:ascii="Calibri" w:eastAsia="Calibri" w:hAnsi="Calibri" w:cs="Calibri"/>
          <w:bCs/>
          <w:sz w:val="24"/>
          <w:szCs w:val="24"/>
        </w:rPr>
        <w:t xml:space="preserve">all </w:t>
      </w:r>
      <w:r w:rsidR="00155235">
        <w:rPr>
          <w:rFonts w:ascii="Calibri" w:eastAsia="Calibri" w:hAnsi="Calibri" w:cs="Calibri"/>
          <w:bCs/>
          <w:sz w:val="24"/>
          <w:szCs w:val="24"/>
        </w:rPr>
        <w:t xml:space="preserve">TFAB meetings are open to the public and that the </w:t>
      </w:r>
      <w:r>
        <w:rPr>
          <w:rFonts w:ascii="Calibri" w:eastAsia="Calibri" w:hAnsi="Calibri" w:cs="Calibri"/>
          <w:bCs/>
          <w:sz w:val="24"/>
          <w:szCs w:val="24"/>
        </w:rPr>
        <w:t xml:space="preserve">fall meetings provide the foundational base knowledge of information for TFAB members. </w:t>
      </w:r>
    </w:p>
    <w:p w14:paraId="7272E2F2" w14:textId="03A94E81" w:rsidR="00E6598A" w:rsidRDefault="0096180A" w:rsidP="00155235">
      <w:pPr>
        <w:rPr>
          <w:rFonts w:ascii="Calibri" w:eastAsia="Calibri" w:hAnsi="Calibri" w:cs="Calibri"/>
          <w:sz w:val="24"/>
          <w:szCs w:val="24"/>
        </w:rPr>
      </w:pPr>
      <w:r w:rsidRPr="0096180A">
        <w:rPr>
          <w:rFonts w:ascii="Calibri" w:eastAsia="Calibri" w:hAnsi="Calibri" w:cs="Calibri"/>
          <w:b/>
          <w:bCs/>
          <w:sz w:val="24"/>
          <w:szCs w:val="24"/>
        </w:rPr>
        <w:t>Guiding principles</w:t>
      </w:r>
      <w:r>
        <w:rPr>
          <w:rFonts w:ascii="Calibri" w:eastAsia="Calibri" w:hAnsi="Calibri" w:cs="Calibri"/>
          <w:sz w:val="24"/>
          <w:szCs w:val="24"/>
        </w:rPr>
        <w:t xml:space="preserve">. </w:t>
      </w:r>
      <w:r w:rsidR="00506832">
        <w:rPr>
          <w:rFonts w:ascii="Calibri" w:eastAsia="Calibri" w:hAnsi="Calibri" w:cs="Calibri"/>
          <w:sz w:val="24"/>
          <w:szCs w:val="24"/>
        </w:rPr>
        <w:t xml:space="preserve">Jamie Moffitt, senior vice president </w:t>
      </w:r>
      <w:r w:rsidR="00155235">
        <w:rPr>
          <w:rFonts w:ascii="Calibri" w:eastAsia="Calibri" w:hAnsi="Calibri" w:cs="Calibri"/>
          <w:sz w:val="24"/>
          <w:szCs w:val="24"/>
        </w:rPr>
        <w:t xml:space="preserve">for finance and administration and CFO, shared the guiding principles document with the group. She noted that TFAB is an advisory group—not a decision-making </w:t>
      </w:r>
      <w:r w:rsidR="00963683">
        <w:rPr>
          <w:rFonts w:ascii="Calibri" w:eastAsia="Calibri" w:hAnsi="Calibri" w:cs="Calibri"/>
          <w:sz w:val="24"/>
          <w:szCs w:val="24"/>
        </w:rPr>
        <w:t>body</w:t>
      </w:r>
      <w:r w:rsidR="00155235">
        <w:rPr>
          <w:rFonts w:ascii="Calibri" w:eastAsia="Calibri" w:hAnsi="Calibri" w:cs="Calibri"/>
          <w:sz w:val="24"/>
          <w:szCs w:val="24"/>
        </w:rPr>
        <w:t xml:space="preserve">—charged with providing advice and counsel to the president on the cost of education at the university.  Moffitt explained that while the fall meetings provide foundational knowledge, in winter term, TFAB receives proposals from </w:t>
      </w:r>
      <w:r w:rsidR="00E6598A">
        <w:rPr>
          <w:rFonts w:ascii="Calibri" w:eastAsia="Calibri" w:hAnsi="Calibri" w:cs="Calibri"/>
          <w:sz w:val="24"/>
          <w:szCs w:val="24"/>
        </w:rPr>
        <w:t xml:space="preserve">various </w:t>
      </w:r>
      <w:r w:rsidR="00155235">
        <w:rPr>
          <w:rFonts w:ascii="Calibri" w:eastAsia="Calibri" w:hAnsi="Calibri" w:cs="Calibri"/>
          <w:sz w:val="24"/>
          <w:szCs w:val="24"/>
        </w:rPr>
        <w:t xml:space="preserve">groups on </w:t>
      </w:r>
      <w:r w:rsidR="00E6598A">
        <w:rPr>
          <w:rFonts w:ascii="Calibri" w:eastAsia="Calibri" w:hAnsi="Calibri" w:cs="Calibri"/>
          <w:sz w:val="24"/>
          <w:szCs w:val="24"/>
        </w:rPr>
        <w:t xml:space="preserve">different </w:t>
      </w:r>
      <w:r w:rsidR="00155235">
        <w:rPr>
          <w:rFonts w:ascii="Calibri" w:eastAsia="Calibri" w:hAnsi="Calibri" w:cs="Calibri"/>
          <w:sz w:val="24"/>
          <w:szCs w:val="24"/>
        </w:rPr>
        <w:t xml:space="preserve">fees and housing rates </w:t>
      </w:r>
      <w:r w:rsidR="00E6598A">
        <w:rPr>
          <w:rFonts w:ascii="Calibri" w:eastAsia="Calibri" w:hAnsi="Calibri" w:cs="Calibri"/>
          <w:sz w:val="24"/>
          <w:szCs w:val="24"/>
        </w:rPr>
        <w:t xml:space="preserve">that </w:t>
      </w:r>
      <w:r w:rsidR="00155235">
        <w:rPr>
          <w:rFonts w:ascii="Calibri" w:eastAsia="Calibri" w:hAnsi="Calibri" w:cs="Calibri"/>
          <w:sz w:val="24"/>
          <w:szCs w:val="24"/>
        </w:rPr>
        <w:t xml:space="preserve">affect the overall cost of education. She indicated that TFAB would be responsible for providing </w:t>
      </w:r>
      <w:r w:rsidR="00510703">
        <w:rPr>
          <w:rFonts w:ascii="Calibri" w:eastAsia="Calibri" w:hAnsi="Calibri" w:cs="Calibri"/>
          <w:sz w:val="24"/>
          <w:szCs w:val="24"/>
        </w:rPr>
        <w:t xml:space="preserve">advice and feedback </w:t>
      </w:r>
      <w:r w:rsidR="00155235">
        <w:rPr>
          <w:rFonts w:ascii="Calibri" w:eastAsia="Calibri" w:hAnsi="Calibri" w:cs="Calibri"/>
          <w:sz w:val="24"/>
          <w:szCs w:val="24"/>
        </w:rPr>
        <w:t xml:space="preserve">related to these fees and rates, and that the group would </w:t>
      </w:r>
      <w:r w:rsidR="00510703">
        <w:rPr>
          <w:rFonts w:ascii="Calibri" w:eastAsia="Calibri" w:hAnsi="Calibri" w:cs="Calibri"/>
          <w:sz w:val="24"/>
          <w:szCs w:val="24"/>
        </w:rPr>
        <w:t xml:space="preserve">also </w:t>
      </w:r>
      <w:r w:rsidR="00155235">
        <w:rPr>
          <w:rFonts w:ascii="Calibri" w:eastAsia="Calibri" w:hAnsi="Calibri" w:cs="Calibri"/>
          <w:sz w:val="24"/>
          <w:szCs w:val="24"/>
        </w:rPr>
        <w:t xml:space="preserve">recommend a tuition rate for </w:t>
      </w:r>
      <w:r w:rsidR="00510703">
        <w:rPr>
          <w:rFonts w:ascii="Calibri" w:eastAsia="Calibri" w:hAnsi="Calibri" w:cs="Calibri"/>
          <w:sz w:val="24"/>
          <w:szCs w:val="24"/>
        </w:rPr>
        <w:t xml:space="preserve">the </w:t>
      </w:r>
      <w:r w:rsidR="00155235">
        <w:rPr>
          <w:rFonts w:ascii="Calibri" w:eastAsia="Calibri" w:hAnsi="Calibri" w:cs="Calibri"/>
          <w:sz w:val="24"/>
          <w:szCs w:val="24"/>
        </w:rPr>
        <w:t>incoming FY28</w:t>
      </w:r>
      <w:r w:rsidR="00510703">
        <w:rPr>
          <w:rFonts w:ascii="Calibri" w:eastAsia="Calibri" w:hAnsi="Calibri" w:cs="Calibri"/>
          <w:sz w:val="24"/>
          <w:szCs w:val="24"/>
        </w:rPr>
        <w:t xml:space="preserve"> cohort of </w:t>
      </w:r>
      <w:r w:rsidR="00155235">
        <w:rPr>
          <w:rFonts w:ascii="Calibri" w:eastAsia="Calibri" w:hAnsi="Calibri" w:cs="Calibri"/>
          <w:sz w:val="24"/>
          <w:szCs w:val="24"/>
        </w:rPr>
        <w:t>undergraduate students</w:t>
      </w:r>
      <w:r w:rsidR="00E6598A">
        <w:rPr>
          <w:rFonts w:ascii="Calibri" w:eastAsia="Calibri" w:hAnsi="Calibri" w:cs="Calibri"/>
          <w:sz w:val="24"/>
          <w:szCs w:val="24"/>
        </w:rPr>
        <w:t>. Moffit</w:t>
      </w:r>
      <w:r w:rsidR="00636429">
        <w:rPr>
          <w:rFonts w:ascii="Calibri" w:eastAsia="Calibri" w:hAnsi="Calibri" w:cs="Calibri"/>
          <w:sz w:val="24"/>
          <w:szCs w:val="24"/>
        </w:rPr>
        <w:t>t</w:t>
      </w:r>
      <w:r w:rsidR="00E6598A">
        <w:rPr>
          <w:rFonts w:ascii="Calibri" w:eastAsia="Calibri" w:hAnsi="Calibri" w:cs="Calibri"/>
          <w:sz w:val="24"/>
          <w:szCs w:val="24"/>
        </w:rPr>
        <w:t xml:space="preserve"> noted that the rate </w:t>
      </w:r>
      <w:r w:rsidR="00155235">
        <w:rPr>
          <w:rFonts w:ascii="Calibri" w:eastAsia="Calibri" w:hAnsi="Calibri" w:cs="Calibri"/>
          <w:sz w:val="24"/>
          <w:szCs w:val="24"/>
        </w:rPr>
        <w:t>would be guaranteed for five years under the Oregon Guarantee.</w:t>
      </w:r>
      <w:r w:rsidR="005C09BB">
        <w:rPr>
          <w:rFonts w:ascii="Calibri" w:eastAsia="Calibri" w:hAnsi="Calibri" w:cs="Calibri"/>
          <w:sz w:val="24"/>
          <w:szCs w:val="24"/>
        </w:rPr>
        <w:t xml:space="preserve"> </w:t>
      </w:r>
    </w:p>
    <w:p w14:paraId="2EF6AE76" w14:textId="2A73008D" w:rsidR="00155235" w:rsidRDefault="00E6598A" w:rsidP="00155235">
      <w:pPr>
        <w:rPr>
          <w:rFonts w:ascii="Calibri" w:eastAsia="Calibri" w:hAnsi="Calibri" w:cs="Calibri"/>
          <w:sz w:val="24"/>
          <w:szCs w:val="24"/>
        </w:rPr>
      </w:pPr>
      <w:r>
        <w:rPr>
          <w:rFonts w:ascii="Calibri" w:eastAsia="Calibri" w:hAnsi="Calibri" w:cs="Calibri"/>
          <w:sz w:val="24"/>
          <w:szCs w:val="24"/>
        </w:rPr>
        <w:t xml:space="preserve">In terms of process, </w:t>
      </w:r>
      <w:r w:rsidR="005C09BB">
        <w:rPr>
          <w:rFonts w:ascii="Calibri" w:eastAsia="Calibri" w:hAnsi="Calibri" w:cs="Calibri"/>
          <w:sz w:val="24"/>
          <w:szCs w:val="24"/>
        </w:rPr>
        <w:t>Moffitt explained that TFAB creates a written recommendations memo for the president, which reflect</w:t>
      </w:r>
      <w:r>
        <w:rPr>
          <w:rFonts w:ascii="Calibri" w:eastAsia="Calibri" w:hAnsi="Calibri" w:cs="Calibri"/>
          <w:sz w:val="24"/>
          <w:szCs w:val="24"/>
        </w:rPr>
        <w:t>s</w:t>
      </w:r>
      <w:r w:rsidR="005C09BB">
        <w:rPr>
          <w:rFonts w:ascii="Calibri" w:eastAsia="Calibri" w:hAnsi="Calibri" w:cs="Calibri"/>
          <w:sz w:val="24"/>
          <w:szCs w:val="24"/>
        </w:rPr>
        <w:t xml:space="preserve"> the opinions of the group and</w:t>
      </w:r>
      <w:r w:rsidR="00341A82">
        <w:rPr>
          <w:rFonts w:ascii="Calibri" w:eastAsia="Calibri" w:hAnsi="Calibri" w:cs="Calibri"/>
          <w:sz w:val="24"/>
          <w:szCs w:val="24"/>
        </w:rPr>
        <w:t xml:space="preserve"> the</w:t>
      </w:r>
      <w:r w:rsidR="005C09BB">
        <w:rPr>
          <w:rFonts w:ascii="Calibri" w:eastAsia="Calibri" w:hAnsi="Calibri" w:cs="Calibri"/>
          <w:sz w:val="24"/>
          <w:szCs w:val="24"/>
        </w:rPr>
        <w:t xml:space="preserve"> discussions that take place during meetings. She noted that TFAB members are </w:t>
      </w:r>
      <w:r>
        <w:rPr>
          <w:rFonts w:ascii="Calibri" w:eastAsia="Calibri" w:hAnsi="Calibri" w:cs="Calibri"/>
          <w:sz w:val="24"/>
          <w:szCs w:val="24"/>
        </w:rPr>
        <w:t xml:space="preserve">actively involved in preparing the TFAB memo and that members are also </w:t>
      </w:r>
      <w:r w:rsidR="005C09BB">
        <w:rPr>
          <w:rFonts w:ascii="Calibri" w:eastAsia="Calibri" w:hAnsi="Calibri" w:cs="Calibri"/>
          <w:sz w:val="24"/>
          <w:szCs w:val="24"/>
        </w:rPr>
        <w:t>welcome to submit a minority memo to the president</w:t>
      </w:r>
      <w:r w:rsidR="000E3026">
        <w:rPr>
          <w:rFonts w:ascii="Calibri" w:eastAsia="Calibri" w:hAnsi="Calibri" w:cs="Calibri"/>
          <w:sz w:val="24"/>
          <w:szCs w:val="24"/>
        </w:rPr>
        <w:t>.</w:t>
      </w:r>
      <w:r w:rsidR="0071071B">
        <w:rPr>
          <w:rFonts w:ascii="Calibri" w:eastAsia="Calibri" w:hAnsi="Calibri" w:cs="Calibri"/>
          <w:sz w:val="24"/>
          <w:szCs w:val="24"/>
        </w:rPr>
        <w:t xml:space="preserve"> Moffitt explained that TFAB makes recommendations to the university president, who then, with university community input, makes recommendations to the UO Board of Trustees, which is ultimately responsible for setting tuition and fees at the university.</w:t>
      </w:r>
    </w:p>
    <w:p w14:paraId="3141E79F" w14:textId="1135677C" w:rsidR="0071071B" w:rsidRDefault="0071071B" w:rsidP="00562C03">
      <w:pPr>
        <w:rPr>
          <w:rFonts w:ascii="Calibri" w:eastAsia="Calibri" w:hAnsi="Calibri" w:cs="Calibri"/>
          <w:sz w:val="24"/>
          <w:szCs w:val="24"/>
        </w:rPr>
      </w:pPr>
      <w:r>
        <w:rPr>
          <w:rFonts w:ascii="Calibri" w:eastAsia="Calibri" w:hAnsi="Calibri" w:cs="Calibri"/>
          <w:sz w:val="24"/>
          <w:szCs w:val="24"/>
        </w:rPr>
        <w:lastRenderedPageBreak/>
        <w:t xml:space="preserve">The group discussed the TFAB process and recommendations memo, clarifying that the memo </w:t>
      </w:r>
      <w:r w:rsidR="004A1769">
        <w:rPr>
          <w:rFonts w:ascii="Calibri" w:eastAsia="Calibri" w:hAnsi="Calibri" w:cs="Calibri"/>
          <w:sz w:val="24"/>
          <w:szCs w:val="24"/>
        </w:rPr>
        <w:t>provides an overview of the TFAB’s discussion and issues raised during TFAB meetings</w:t>
      </w:r>
      <w:r w:rsidR="00636429">
        <w:rPr>
          <w:rFonts w:ascii="Calibri" w:eastAsia="Calibri" w:hAnsi="Calibri" w:cs="Calibri"/>
          <w:sz w:val="24"/>
          <w:szCs w:val="24"/>
        </w:rPr>
        <w:t>,</w:t>
      </w:r>
      <w:r w:rsidR="004A1769">
        <w:rPr>
          <w:rFonts w:ascii="Calibri" w:eastAsia="Calibri" w:hAnsi="Calibri" w:cs="Calibri"/>
          <w:sz w:val="24"/>
          <w:szCs w:val="24"/>
        </w:rPr>
        <w:t xml:space="preserve"> and </w:t>
      </w:r>
      <w:r>
        <w:rPr>
          <w:rFonts w:ascii="Calibri" w:eastAsia="Calibri" w:hAnsi="Calibri" w:cs="Calibri"/>
          <w:sz w:val="24"/>
          <w:szCs w:val="24"/>
        </w:rPr>
        <w:t xml:space="preserve">is made public </w:t>
      </w:r>
      <w:r w:rsidR="00724E18">
        <w:rPr>
          <w:rFonts w:ascii="Calibri" w:eastAsia="Calibri" w:hAnsi="Calibri" w:cs="Calibri"/>
          <w:sz w:val="24"/>
          <w:szCs w:val="24"/>
        </w:rPr>
        <w:t xml:space="preserve">to </w:t>
      </w:r>
      <w:r>
        <w:rPr>
          <w:rFonts w:ascii="Calibri" w:eastAsia="Calibri" w:hAnsi="Calibri" w:cs="Calibri"/>
          <w:sz w:val="24"/>
          <w:szCs w:val="24"/>
        </w:rPr>
        <w:t>the university community</w:t>
      </w:r>
      <w:r w:rsidR="004A1769">
        <w:rPr>
          <w:rFonts w:ascii="Calibri" w:eastAsia="Calibri" w:hAnsi="Calibri" w:cs="Calibri"/>
          <w:sz w:val="24"/>
          <w:szCs w:val="24"/>
        </w:rPr>
        <w:t>. Members of the university community</w:t>
      </w:r>
      <w:r>
        <w:rPr>
          <w:rFonts w:ascii="Calibri" w:eastAsia="Calibri" w:hAnsi="Calibri" w:cs="Calibri"/>
          <w:sz w:val="24"/>
          <w:szCs w:val="24"/>
        </w:rPr>
        <w:t xml:space="preserve"> </w:t>
      </w:r>
      <w:r w:rsidR="00E60A3E">
        <w:rPr>
          <w:rFonts w:ascii="Calibri" w:eastAsia="Calibri" w:hAnsi="Calibri" w:cs="Calibri"/>
          <w:sz w:val="24"/>
          <w:szCs w:val="24"/>
        </w:rPr>
        <w:t>ha</w:t>
      </w:r>
      <w:r w:rsidR="004A1769">
        <w:rPr>
          <w:rFonts w:ascii="Calibri" w:eastAsia="Calibri" w:hAnsi="Calibri" w:cs="Calibri"/>
          <w:sz w:val="24"/>
          <w:szCs w:val="24"/>
        </w:rPr>
        <w:t>ve</w:t>
      </w:r>
      <w:r w:rsidR="00E60A3E">
        <w:rPr>
          <w:rFonts w:ascii="Calibri" w:eastAsia="Calibri" w:hAnsi="Calibri" w:cs="Calibri"/>
          <w:sz w:val="24"/>
          <w:szCs w:val="24"/>
        </w:rPr>
        <w:t xml:space="preserve"> many opportunities to </w:t>
      </w:r>
      <w:r>
        <w:rPr>
          <w:rFonts w:ascii="Calibri" w:eastAsia="Calibri" w:hAnsi="Calibri" w:cs="Calibri"/>
          <w:sz w:val="24"/>
          <w:szCs w:val="24"/>
        </w:rPr>
        <w:t>provide input to the president</w:t>
      </w:r>
      <w:r w:rsidR="004A1769">
        <w:rPr>
          <w:rFonts w:ascii="Calibri" w:eastAsia="Calibri" w:hAnsi="Calibri" w:cs="Calibri"/>
          <w:sz w:val="24"/>
          <w:szCs w:val="24"/>
        </w:rPr>
        <w:t>, through TFAB or directly during a presidential forum or other means</w:t>
      </w:r>
      <w:r>
        <w:rPr>
          <w:rFonts w:ascii="Calibri" w:eastAsia="Calibri" w:hAnsi="Calibri" w:cs="Calibri"/>
          <w:sz w:val="24"/>
          <w:szCs w:val="24"/>
        </w:rPr>
        <w:t xml:space="preserve">. The group also discussed the public nature of TFAB meetings and the student forums on tuition—held in January with ASUO and in February by the UO president—and recognized that all </w:t>
      </w:r>
      <w:r w:rsidR="00E60A3E">
        <w:rPr>
          <w:rFonts w:ascii="Calibri" w:eastAsia="Calibri" w:hAnsi="Calibri" w:cs="Calibri"/>
          <w:sz w:val="24"/>
          <w:szCs w:val="24"/>
        </w:rPr>
        <w:t xml:space="preserve">TFAB </w:t>
      </w:r>
      <w:r>
        <w:rPr>
          <w:rFonts w:ascii="Calibri" w:eastAsia="Calibri" w:hAnsi="Calibri" w:cs="Calibri"/>
          <w:sz w:val="24"/>
          <w:szCs w:val="24"/>
        </w:rPr>
        <w:t>agenda</w:t>
      </w:r>
      <w:r w:rsidR="00724E18">
        <w:rPr>
          <w:rFonts w:ascii="Calibri" w:eastAsia="Calibri" w:hAnsi="Calibri" w:cs="Calibri"/>
          <w:sz w:val="24"/>
          <w:szCs w:val="24"/>
        </w:rPr>
        <w:t>s</w:t>
      </w:r>
      <w:r>
        <w:rPr>
          <w:rFonts w:ascii="Calibri" w:eastAsia="Calibri" w:hAnsi="Calibri" w:cs="Calibri"/>
          <w:sz w:val="24"/>
          <w:szCs w:val="24"/>
        </w:rPr>
        <w:t xml:space="preserve"> and meeting materials are available </w:t>
      </w:r>
      <w:hyperlink r:id="rId9" w:history="1">
        <w:r w:rsidRPr="00155235">
          <w:rPr>
            <w:rStyle w:val="Hyperlink"/>
            <w:rFonts w:ascii="Calibri" w:eastAsia="Calibri" w:hAnsi="Calibri" w:cs="Calibri"/>
            <w:sz w:val="24"/>
            <w:szCs w:val="24"/>
          </w:rPr>
          <w:t>on</w:t>
        </w:r>
        <w:r w:rsidRPr="00155235">
          <w:rPr>
            <w:rStyle w:val="Hyperlink"/>
            <w:rFonts w:ascii="Calibri" w:eastAsia="Calibri" w:hAnsi="Calibri" w:cs="Calibri"/>
            <w:sz w:val="24"/>
            <w:szCs w:val="24"/>
          </w:rPr>
          <w:t>l</w:t>
        </w:r>
        <w:r w:rsidRPr="00155235">
          <w:rPr>
            <w:rStyle w:val="Hyperlink"/>
            <w:rFonts w:ascii="Calibri" w:eastAsia="Calibri" w:hAnsi="Calibri" w:cs="Calibri"/>
            <w:sz w:val="24"/>
            <w:szCs w:val="24"/>
          </w:rPr>
          <w:t>ine</w:t>
        </w:r>
      </w:hyperlink>
      <w:r>
        <w:rPr>
          <w:rFonts w:ascii="Calibri" w:eastAsia="Calibri" w:hAnsi="Calibri" w:cs="Calibri"/>
          <w:sz w:val="24"/>
          <w:szCs w:val="24"/>
        </w:rPr>
        <w:t>.</w:t>
      </w:r>
    </w:p>
    <w:p w14:paraId="1352840A" w14:textId="62D950D7" w:rsidR="0071071B" w:rsidRDefault="0071071B" w:rsidP="0071071B">
      <w:pPr>
        <w:rPr>
          <w:sz w:val="24"/>
          <w:szCs w:val="24"/>
        </w:rPr>
      </w:pPr>
      <w:r w:rsidRPr="008879F4">
        <w:rPr>
          <w:b/>
          <w:bCs/>
          <w:sz w:val="24"/>
          <w:szCs w:val="24"/>
        </w:rPr>
        <w:t>Historical and comparative data</w:t>
      </w:r>
      <w:r w:rsidRPr="008879F4">
        <w:rPr>
          <w:sz w:val="24"/>
          <w:szCs w:val="24"/>
        </w:rPr>
        <w:t xml:space="preserve">. </w:t>
      </w:r>
      <w:r w:rsidRPr="001E5E99">
        <w:rPr>
          <w:sz w:val="24"/>
          <w:szCs w:val="24"/>
        </w:rPr>
        <w:t>JP Monroe, institutional research</w:t>
      </w:r>
      <w:r>
        <w:rPr>
          <w:sz w:val="24"/>
          <w:szCs w:val="24"/>
        </w:rPr>
        <w:t xml:space="preserve"> analyst</w:t>
      </w:r>
      <w:r w:rsidRPr="001E5E99">
        <w:rPr>
          <w:sz w:val="24"/>
          <w:szCs w:val="24"/>
        </w:rPr>
        <w:t xml:space="preserve">, presented </w:t>
      </w:r>
      <w:r>
        <w:rPr>
          <w:sz w:val="24"/>
          <w:szCs w:val="24"/>
        </w:rPr>
        <w:t>h</w:t>
      </w:r>
      <w:r w:rsidRPr="00E3376B">
        <w:rPr>
          <w:sz w:val="24"/>
          <w:szCs w:val="24"/>
        </w:rPr>
        <w:t>istorical data regarding the relationship between the amount of resident tuition and</w:t>
      </w:r>
      <w:r>
        <w:rPr>
          <w:sz w:val="24"/>
          <w:szCs w:val="24"/>
        </w:rPr>
        <w:t xml:space="preserve"> </w:t>
      </w:r>
      <w:r w:rsidRPr="00E3376B">
        <w:rPr>
          <w:sz w:val="24"/>
          <w:szCs w:val="24"/>
        </w:rPr>
        <w:t>mandatory enrollment fees charged by the public university and the amount of state appropriations</w:t>
      </w:r>
      <w:r>
        <w:rPr>
          <w:sz w:val="24"/>
          <w:szCs w:val="24"/>
        </w:rPr>
        <w:t>.  He provided data comparing the UO with other public universities in the Association of American Universities</w:t>
      </w:r>
      <w:r w:rsidR="00B55EB1">
        <w:rPr>
          <w:sz w:val="24"/>
          <w:szCs w:val="24"/>
        </w:rPr>
        <w:t xml:space="preserve"> (AAU)</w:t>
      </w:r>
      <w:r>
        <w:rPr>
          <w:sz w:val="24"/>
          <w:szCs w:val="24"/>
        </w:rPr>
        <w:t xml:space="preserve"> and the Big Ten Conference. Th</w:t>
      </w:r>
      <w:r w:rsidR="00B55EB1">
        <w:rPr>
          <w:sz w:val="24"/>
          <w:szCs w:val="24"/>
        </w:rPr>
        <w:t>e materials</w:t>
      </w:r>
      <w:r>
        <w:rPr>
          <w:sz w:val="24"/>
          <w:szCs w:val="24"/>
        </w:rPr>
        <w:t xml:space="preserve"> included the UO’s undergraduate tuition and mandatory fee history, the history of state appropriation in Oregon between FY90 and FY26</w:t>
      </w:r>
      <w:r w:rsidR="00425D79">
        <w:rPr>
          <w:sz w:val="24"/>
          <w:szCs w:val="24"/>
        </w:rPr>
        <w:t xml:space="preserve"> </w:t>
      </w:r>
      <w:r>
        <w:rPr>
          <w:sz w:val="24"/>
          <w:szCs w:val="24"/>
        </w:rPr>
        <w:t xml:space="preserve">in actual and Consumer Price Index-adjusted dollars, and comparative state appropriations per undergraduate </w:t>
      </w:r>
      <w:r w:rsidR="00425D79">
        <w:rPr>
          <w:sz w:val="24"/>
          <w:szCs w:val="24"/>
        </w:rPr>
        <w:t xml:space="preserve">student </w:t>
      </w:r>
      <w:r>
        <w:rPr>
          <w:sz w:val="24"/>
          <w:szCs w:val="24"/>
        </w:rPr>
        <w:t xml:space="preserve">among AAU and Big Ten public universities. </w:t>
      </w:r>
    </w:p>
    <w:p w14:paraId="5D107E90" w14:textId="084C497F" w:rsidR="0042662F" w:rsidRDefault="0071071B" w:rsidP="0071071B">
      <w:pPr>
        <w:rPr>
          <w:rFonts w:ascii="Calibri" w:eastAsia="Calibri" w:hAnsi="Calibri" w:cs="Calibri"/>
          <w:sz w:val="24"/>
          <w:szCs w:val="24"/>
        </w:rPr>
      </w:pPr>
      <w:r>
        <w:rPr>
          <w:rFonts w:ascii="Calibri" w:eastAsia="Calibri" w:hAnsi="Calibri" w:cs="Calibri"/>
          <w:sz w:val="24"/>
          <w:szCs w:val="24"/>
        </w:rPr>
        <w:t xml:space="preserve">The group discussed the changes in state appropriation and resident tuition </w:t>
      </w:r>
      <w:r w:rsidR="0042662F">
        <w:rPr>
          <w:rFonts w:ascii="Calibri" w:eastAsia="Calibri" w:hAnsi="Calibri" w:cs="Calibri"/>
          <w:sz w:val="24"/>
          <w:szCs w:val="24"/>
        </w:rPr>
        <w:t xml:space="preserve">at UO since FY99, the low level of state appropriations at UO compared to AAU and Big Ten public universities, and the fact that the UO receives </w:t>
      </w:r>
      <w:r w:rsidR="00425D79">
        <w:rPr>
          <w:rFonts w:ascii="Calibri" w:eastAsia="Calibri" w:hAnsi="Calibri" w:cs="Calibri"/>
          <w:sz w:val="24"/>
          <w:szCs w:val="24"/>
        </w:rPr>
        <w:t xml:space="preserve">far less </w:t>
      </w:r>
      <w:r w:rsidR="0042662F">
        <w:rPr>
          <w:rFonts w:ascii="Calibri" w:eastAsia="Calibri" w:hAnsi="Calibri" w:cs="Calibri"/>
          <w:sz w:val="24"/>
          <w:szCs w:val="24"/>
        </w:rPr>
        <w:t>state appropriation</w:t>
      </w:r>
      <w:r w:rsidR="00950BD8">
        <w:rPr>
          <w:rFonts w:ascii="Calibri" w:eastAsia="Calibri" w:hAnsi="Calibri" w:cs="Calibri"/>
          <w:sz w:val="24"/>
          <w:szCs w:val="24"/>
        </w:rPr>
        <w:t xml:space="preserve"> funding</w:t>
      </w:r>
      <w:r w:rsidR="0042662F">
        <w:rPr>
          <w:rFonts w:ascii="Calibri" w:eastAsia="Calibri" w:hAnsi="Calibri" w:cs="Calibri"/>
          <w:sz w:val="24"/>
          <w:szCs w:val="24"/>
        </w:rPr>
        <w:t xml:space="preserve"> per </w:t>
      </w:r>
      <w:r w:rsidR="004A1769">
        <w:rPr>
          <w:rFonts w:ascii="Calibri" w:eastAsia="Calibri" w:hAnsi="Calibri" w:cs="Calibri"/>
          <w:sz w:val="24"/>
          <w:szCs w:val="24"/>
        </w:rPr>
        <w:t xml:space="preserve">total </w:t>
      </w:r>
      <w:r w:rsidR="0042662F">
        <w:rPr>
          <w:rFonts w:ascii="Calibri" w:eastAsia="Calibri" w:hAnsi="Calibri" w:cs="Calibri"/>
          <w:sz w:val="24"/>
          <w:szCs w:val="24"/>
        </w:rPr>
        <w:t>student</w:t>
      </w:r>
      <w:r w:rsidR="004A1769">
        <w:rPr>
          <w:rFonts w:ascii="Calibri" w:eastAsia="Calibri" w:hAnsi="Calibri" w:cs="Calibri"/>
          <w:sz w:val="24"/>
          <w:szCs w:val="24"/>
        </w:rPr>
        <w:t xml:space="preserve"> population and per resident student </w:t>
      </w:r>
      <w:r w:rsidR="0042662F">
        <w:rPr>
          <w:rFonts w:ascii="Calibri" w:eastAsia="Calibri" w:hAnsi="Calibri" w:cs="Calibri"/>
          <w:sz w:val="24"/>
          <w:szCs w:val="24"/>
        </w:rPr>
        <w:t>than the average at AAU public</w:t>
      </w:r>
      <w:r w:rsidR="005A3997">
        <w:rPr>
          <w:rFonts w:ascii="Calibri" w:eastAsia="Calibri" w:hAnsi="Calibri" w:cs="Calibri"/>
          <w:sz w:val="24"/>
          <w:szCs w:val="24"/>
        </w:rPr>
        <w:t>s</w:t>
      </w:r>
      <w:r w:rsidR="0042662F">
        <w:rPr>
          <w:rFonts w:ascii="Calibri" w:eastAsia="Calibri" w:hAnsi="Calibri" w:cs="Calibri"/>
          <w:sz w:val="24"/>
          <w:szCs w:val="24"/>
        </w:rPr>
        <w:t xml:space="preserve">. TFAB members </w:t>
      </w:r>
      <w:r w:rsidR="00950BD8">
        <w:rPr>
          <w:rFonts w:ascii="Calibri" w:eastAsia="Calibri" w:hAnsi="Calibri" w:cs="Calibri"/>
          <w:sz w:val="24"/>
          <w:szCs w:val="24"/>
        </w:rPr>
        <w:t xml:space="preserve">also </w:t>
      </w:r>
      <w:r w:rsidR="0042662F">
        <w:rPr>
          <w:rFonts w:ascii="Calibri" w:eastAsia="Calibri" w:hAnsi="Calibri" w:cs="Calibri"/>
          <w:sz w:val="24"/>
          <w:szCs w:val="24"/>
        </w:rPr>
        <w:t xml:space="preserve">noted that the UO is heavily reliant on non-resident students because state appropriations and resident tuition combined do not cover the cost of educating resident Oregonians. The group noted that the high overall UO cost of attendance is impacted by high housing costs in the area, and discussed trends in undergraduate enrollment by residency, emphasizing the </w:t>
      </w:r>
      <w:r w:rsidR="00950BD8">
        <w:rPr>
          <w:rFonts w:ascii="Calibri" w:eastAsia="Calibri" w:hAnsi="Calibri" w:cs="Calibri"/>
          <w:sz w:val="24"/>
          <w:szCs w:val="24"/>
        </w:rPr>
        <w:t xml:space="preserve">negative </w:t>
      </w:r>
      <w:r w:rsidR="0042662F">
        <w:rPr>
          <w:rFonts w:ascii="Calibri" w:eastAsia="Calibri" w:hAnsi="Calibri" w:cs="Calibri"/>
          <w:sz w:val="24"/>
          <w:szCs w:val="24"/>
        </w:rPr>
        <w:t>impact</w:t>
      </w:r>
      <w:r w:rsidR="00950BD8">
        <w:rPr>
          <w:rFonts w:ascii="Calibri" w:eastAsia="Calibri" w:hAnsi="Calibri" w:cs="Calibri"/>
          <w:sz w:val="24"/>
          <w:szCs w:val="24"/>
        </w:rPr>
        <w:t>s</w:t>
      </w:r>
      <w:r w:rsidR="0042662F">
        <w:rPr>
          <w:rFonts w:ascii="Calibri" w:eastAsia="Calibri" w:hAnsi="Calibri" w:cs="Calibri"/>
          <w:sz w:val="24"/>
          <w:szCs w:val="24"/>
        </w:rPr>
        <w:t xml:space="preserve"> of </w:t>
      </w:r>
      <w:r w:rsidR="00950BD8">
        <w:rPr>
          <w:rFonts w:ascii="Calibri" w:eastAsia="Calibri" w:hAnsi="Calibri" w:cs="Calibri"/>
          <w:sz w:val="24"/>
          <w:szCs w:val="24"/>
        </w:rPr>
        <w:t xml:space="preserve">declining </w:t>
      </w:r>
      <w:r w:rsidR="0042662F">
        <w:rPr>
          <w:rFonts w:ascii="Calibri" w:eastAsia="Calibri" w:hAnsi="Calibri" w:cs="Calibri"/>
          <w:sz w:val="24"/>
          <w:szCs w:val="24"/>
        </w:rPr>
        <w:t>international enrollment, particularly</w:t>
      </w:r>
      <w:r w:rsidR="00935FD2">
        <w:rPr>
          <w:rFonts w:ascii="Calibri" w:eastAsia="Calibri" w:hAnsi="Calibri" w:cs="Calibri"/>
          <w:sz w:val="24"/>
          <w:szCs w:val="24"/>
        </w:rPr>
        <w:t xml:space="preserve"> of students</w:t>
      </w:r>
      <w:r w:rsidR="0042662F">
        <w:rPr>
          <w:rFonts w:ascii="Calibri" w:eastAsia="Calibri" w:hAnsi="Calibri" w:cs="Calibri"/>
          <w:sz w:val="24"/>
          <w:szCs w:val="24"/>
        </w:rPr>
        <w:t xml:space="preserve"> from China. Members discussed the UO reliance on non-resident students from California, changing dynamics in the national higher education marketplace, and the challenge of making recommendations in </w:t>
      </w:r>
      <w:r w:rsidR="009C74C9">
        <w:rPr>
          <w:rFonts w:ascii="Calibri" w:eastAsia="Calibri" w:hAnsi="Calibri" w:cs="Calibri"/>
          <w:sz w:val="24"/>
          <w:szCs w:val="24"/>
        </w:rPr>
        <w:t>winter term before enrollment information is available.</w:t>
      </w:r>
    </w:p>
    <w:p w14:paraId="515E6704" w14:textId="6CC60879" w:rsidR="00D556FA" w:rsidRPr="004C6F93" w:rsidRDefault="00E3376B" w:rsidP="0042662F">
      <w:pPr>
        <w:rPr>
          <w:sz w:val="24"/>
          <w:szCs w:val="24"/>
        </w:rPr>
      </w:pPr>
      <w:r w:rsidRPr="001F0681">
        <w:rPr>
          <w:b/>
          <w:sz w:val="24"/>
          <w:szCs w:val="24"/>
        </w:rPr>
        <w:t>Adjournment</w:t>
      </w:r>
      <w:r w:rsidRPr="001F0681">
        <w:rPr>
          <w:sz w:val="24"/>
          <w:szCs w:val="24"/>
        </w:rPr>
        <w:t xml:space="preserve">. </w:t>
      </w:r>
      <w:r w:rsidRPr="001F0681">
        <w:rPr>
          <w:rFonts w:ascii="Calibri" w:eastAsia="Calibri" w:hAnsi="Calibri" w:cs="Calibri"/>
          <w:sz w:val="24"/>
          <w:szCs w:val="24"/>
        </w:rPr>
        <w:t xml:space="preserve">The meeting adjourned at </w:t>
      </w:r>
      <w:r w:rsidR="0042662F">
        <w:rPr>
          <w:rFonts w:ascii="Calibri" w:eastAsia="Calibri" w:hAnsi="Calibri" w:cs="Calibri"/>
          <w:sz w:val="24"/>
          <w:szCs w:val="24"/>
        </w:rPr>
        <w:t>2</w:t>
      </w:r>
      <w:r w:rsidRPr="001F0681">
        <w:rPr>
          <w:rFonts w:ascii="Calibri" w:eastAsia="Calibri" w:hAnsi="Calibri" w:cs="Calibri"/>
          <w:sz w:val="24"/>
          <w:szCs w:val="24"/>
        </w:rPr>
        <w:t>:</w:t>
      </w:r>
      <w:r w:rsidR="0042662F">
        <w:rPr>
          <w:rFonts w:ascii="Calibri" w:eastAsia="Calibri" w:hAnsi="Calibri" w:cs="Calibri"/>
          <w:sz w:val="24"/>
          <w:szCs w:val="24"/>
        </w:rPr>
        <w:t>48</w:t>
      </w:r>
      <w:r w:rsidR="00FA2270" w:rsidRPr="001F0681">
        <w:rPr>
          <w:rFonts w:ascii="Calibri" w:eastAsia="Calibri" w:hAnsi="Calibri" w:cs="Calibri"/>
          <w:sz w:val="24"/>
          <w:szCs w:val="24"/>
        </w:rPr>
        <w:t>p</w:t>
      </w:r>
      <w:r w:rsidRPr="001F0681">
        <w:rPr>
          <w:rFonts w:ascii="Calibri" w:eastAsia="Calibri" w:hAnsi="Calibri" w:cs="Calibri"/>
          <w:sz w:val="24"/>
          <w:szCs w:val="24"/>
        </w:rPr>
        <w:t>m.</w:t>
      </w:r>
    </w:p>
    <w:sectPr w:rsidR="00D556FA" w:rsidRPr="004C6F93" w:rsidSect="004C6F93">
      <w:footerReference w:type="default" r:id="rId10"/>
      <w:pgSz w:w="12240" w:h="15840"/>
      <w:pgMar w:top="1440" w:right="1440" w:bottom="1440" w:left="144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CC26C" w14:textId="77777777" w:rsidR="001A6370" w:rsidRDefault="001A6370" w:rsidP="008879F4">
      <w:pPr>
        <w:spacing w:after="0" w:line="240" w:lineRule="auto"/>
      </w:pPr>
      <w:r>
        <w:separator/>
      </w:r>
    </w:p>
  </w:endnote>
  <w:endnote w:type="continuationSeparator" w:id="0">
    <w:p w14:paraId="6596EFAB" w14:textId="77777777" w:rsidR="001A6370" w:rsidRDefault="001A6370" w:rsidP="0088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49257"/>
      <w:docPartObj>
        <w:docPartGallery w:val="Page Numbers (Bottom of Page)"/>
        <w:docPartUnique/>
      </w:docPartObj>
    </w:sdtPr>
    <w:sdtEndPr/>
    <w:sdtContent>
      <w:sdt>
        <w:sdtPr>
          <w:id w:val="-1769616900"/>
          <w:docPartObj>
            <w:docPartGallery w:val="Page Numbers (Top of Page)"/>
            <w:docPartUnique/>
          </w:docPartObj>
        </w:sdtPr>
        <w:sdtEndPr/>
        <w:sdtContent>
          <w:p w14:paraId="234DE244" w14:textId="77777777" w:rsidR="004C6F93" w:rsidRDefault="004C6F93">
            <w:pPr>
              <w:pStyle w:val="Footer"/>
              <w:jc w:val="right"/>
            </w:pPr>
          </w:p>
          <w:p w14:paraId="3042F3FF" w14:textId="50834713" w:rsidR="008879F4" w:rsidRDefault="008879F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47F8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47F87">
              <w:rPr>
                <w:b/>
                <w:bCs/>
                <w:noProof/>
              </w:rPr>
              <w:t>2</w:t>
            </w:r>
            <w:r>
              <w:rPr>
                <w:b/>
                <w:bCs/>
                <w:sz w:val="24"/>
                <w:szCs w:val="24"/>
              </w:rPr>
              <w:fldChar w:fldCharType="end"/>
            </w:r>
          </w:p>
        </w:sdtContent>
      </w:sdt>
    </w:sdtContent>
  </w:sdt>
  <w:p w14:paraId="1B097351" w14:textId="77777777" w:rsidR="008879F4" w:rsidRDefault="00887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8628" w14:textId="77777777" w:rsidR="001A6370" w:rsidRDefault="001A6370" w:rsidP="008879F4">
      <w:pPr>
        <w:spacing w:after="0" w:line="240" w:lineRule="auto"/>
      </w:pPr>
      <w:r>
        <w:separator/>
      </w:r>
    </w:p>
  </w:footnote>
  <w:footnote w:type="continuationSeparator" w:id="0">
    <w:p w14:paraId="6598CB96" w14:textId="77777777" w:rsidR="001A6370" w:rsidRDefault="001A6370" w:rsidP="008879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689"/>
    <w:multiLevelType w:val="hybridMultilevel"/>
    <w:tmpl w:val="771280D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233210"/>
    <w:multiLevelType w:val="hybridMultilevel"/>
    <w:tmpl w:val="8F36A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E5C84"/>
    <w:multiLevelType w:val="hybridMultilevel"/>
    <w:tmpl w:val="B58E9D74"/>
    <w:lvl w:ilvl="0" w:tplc="FD52EA6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734C70"/>
    <w:multiLevelType w:val="hybridMultilevel"/>
    <w:tmpl w:val="185E21A0"/>
    <w:lvl w:ilvl="0" w:tplc="2A22C4F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25047"/>
    <w:multiLevelType w:val="hybridMultilevel"/>
    <w:tmpl w:val="1C5E871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632CB7"/>
    <w:multiLevelType w:val="hybridMultilevel"/>
    <w:tmpl w:val="594E7C1C"/>
    <w:lvl w:ilvl="0" w:tplc="B9E6249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A61318"/>
    <w:multiLevelType w:val="hybridMultilevel"/>
    <w:tmpl w:val="6E18FF08"/>
    <w:lvl w:ilvl="0" w:tplc="2A22C4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B06FBE"/>
    <w:multiLevelType w:val="hybridMultilevel"/>
    <w:tmpl w:val="330C9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DC098E"/>
    <w:multiLevelType w:val="hybridMultilevel"/>
    <w:tmpl w:val="81A6642A"/>
    <w:lvl w:ilvl="0" w:tplc="3B6E7D7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012494">
    <w:abstractNumId w:val="5"/>
  </w:num>
  <w:num w:numId="2" w16cid:durableId="1441027469">
    <w:abstractNumId w:val="2"/>
  </w:num>
  <w:num w:numId="3" w16cid:durableId="1090736092">
    <w:abstractNumId w:val="7"/>
  </w:num>
  <w:num w:numId="4" w16cid:durableId="653146724">
    <w:abstractNumId w:val="0"/>
  </w:num>
  <w:num w:numId="5" w16cid:durableId="596401398">
    <w:abstractNumId w:val="3"/>
  </w:num>
  <w:num w:numId="6" w16cid:durableId="470905582">
    <w:abstractNumId w:val="6"/>
  </w:num>
  <w:num w:numId="7" w16cid:durableId="2108962282">
    <w:abstractNumId w:val="1"/>
  </w:num>
  <w:num w:numId="8" w16cid:durableId="1556157534">
    <w:abstractNumId w:val="8"/>
  </w:num>
  <w:num w:numId="9" w16cid:durableId="1117480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D5"/>
    <w:rsid w:val="000003BA"/>
    <w:rsid w:val="00022FF7"/>
    <w:rsid w:val="000B1ED5"/>
    <w:rsid w:val="000E3026"/>
    <w:rsid w:val="000F5B90"/>
    <w:rsid w:val="0010288C"/>
    <w:rsid w:val="001174B0"/>
    <w:rsid w:val="00133B6B"/>
    <w:rsid w:val="00141249"/>
    <w:rsid w:val="00144E67"/>
    <w:rsid w:val="00155235"/>
    <w:rsid w:val="00155B27"/>
    <w:rsid w:val="00170CBE"/>
    <w:rsid w:val="001A6370"/>
    <w:rsid w:val="001A67D5"/>
    <w:rsid w:val="001E5E99"/>
    <w:rsid w:val="001F0681"/>
    <w:rsid w:val="002049BA"/>
    <w:rsid w:val="00214626"/>
    <w:rsid w:val="00216D4A"/>
    <w:rsid w:val="00226D5B"/>
    <w:rsid w:val="00257871"/>
    <w:rsid w:val="002933E7"/>
    <w:rsid w:val="00310855"/>
    <w:rsid w:val="00341A82"/>
    <w:rsid w:val="00343CC8"/>
    <w:rsid w:val="00353D21"/>
    <w:rsid w:val="0036232A"/>
    <w:rsid w:val="00363EDC"/>
    <w:rsid w:val="00366D85"/>
    <w:rsid w:val="0039330D"/>
    <w:rsid w:val="003C6080"/>
    <w:rsid w:val="0042056F"/>
    <w:rsid w:val="00421257"/>
    <w:rsid w:val="00425D79"/>
    <w:rsid w:val="0042662F"/>
    <w:rsid w:val="00451688"/>
    <w:rsid w:val="00490482"/>
    <w:rsid w:val="004A0F65"/>
    <w:rsid w:val="004A1769"/>
    <w:rsid w:val="004B6864"/>
    <w:rsid w:val="004C45F2"/>
    <w:rsid w:val="004C6F93"/>
    <w:rsid w:val="004E045E"/>
    <w:rsid w:val="004E0920"/>
    <w:rsid w:val="004E42CD"/>
    <w:rsid w:val="004E4BF6"/>
    <w:rsid w:val="00506832"/>
    <w:rsid w:val="00507ACB"/>
    <w:rsid w:val="00510703"/>
    <w:rsid w:val="005318B4"/>
    <w:rsid w:val="00562C03"/>
    <w:rsid w:val="005656D5"/>
    <w:rsid w:val="005A3997"/>
    <w:rsid w:val="005B21D3"/>
    <w:rsid w:val="005B3897"/>
    <w:rsid w:val="005B5EDF"/>
    <w:rsid w:val="005C09BB"/>
    <w:rsid w:val="00636429"/>
    <w:rsid w:val="00636BC1"/>
    <w:rsid w:val="006837E9"/>
    <w:rsid w:val="0069415E"/>
    <w:rsid w:val="006D5377"/>
    <w:rsid w:val="006D7FC9"/>
    <w:rsid w:val="0071071B"/>
    <w:rsid w:val="00711C94"/>
    <w:rsid w:val="00724E18"/>
    <w:rsid w:val="00741E8D"/>
    <w:rsid w:val="0074229F"/>
    <w:rsid w:val="00762235"/>
    <w:rsid w:val="007A07BA"/>
    <w:rsid w:val="007B26D2"/>
    <w:rsid w:val="007D10E7"/>
    <w:rsid w:val="00845FA8"/>
    <w:rsid w:val="008879F4"/>
    <w:rsid w:val="008B66AC"/>
    <w:rsid w:val="008C1798"/>
    <w:rsid w:val="008D1AE1"/>
    <w:rsid w:val="008F5027"/>
    <w:rsid w:val="00910879"/>
    <w:rsid w:val="00911B78"/>
    <w:rsid w:val="00923CF5"/>
    <w:rsid w:val="00925BD6"/>
    <w:rsid w:val="00931A6B"/>
    <w:rsid w:val="00935FD2"/>
    <w:rsid w:val="00942CBE"/>
    <w:rsid w:val="00950BD8"/>
    <w:rsid w:val="0096180A"/>
    <w:rsid w:val="0096229F"/>
    <w:rsid w:val="00963683"/>
    <w:rsid w:val="00990824"/>
    <w:rsid w:val="00990D65"/>
    <w:rsid w:val="009A21FC"/>
    <w:rsid w:val="009B12C7"/>
    <w:rsid w:val="009C5262"/>
    <w:rsid w:val="009C74C9"/>
    <w:rsid w:val="009C7ECE"/>
    <w:rsid w:val="009F1DD5"/>
    <w:rsid w:val="00A16A1D"/>
    <w:rsid w:val="00A238A3"/>
    <w:rsid w:val="00A70F69"/>
    <w:rsid w:val="00A940D8"/>
    <w:rsid w:val="00AA4F42"/>
    <w:rsid w:val="00AB22F3"/>
    <w:rsid w:val="00AD13AF"/>
    <w:rsid w:val="00AD36D1"/>
    <w:rsid w:val="00AE6A3A"/>
    <w:rsid w:val="00AE7E98"/>
    <w:rsid w:val="00AF3863"/>
    <w:rsid w:val="00B36C47"/>
    <w:rsid w:val="00B3742C"/>
    <w:rsid w:val="00B51386"/>
    <w:rsid w:val="00B516EE"/>
    <w:rsid w:val="00B55EB1"/>
    <w:rsid w:val="00B850DF"/>
    <w:rsid w:val="00B862D6"/>
    <w:rsid w:val="00B928F3"/>
    <w:rsid w:val="00BA0EDC"/>
    <w:rsid w:val="00BB6A2D"/>
    <w:rsid w:val="00BC6278"/>
    <w:rsid w:val="00BF493E"/>
    <w:rsid w:val="00C03CC2"/>
    <w:rsid w:val="00C44DEB"/>
    <w:rsid w:val="00C45ECB"/>
    <w:rsid w:val="00C6078B"/>
    <w:rsid w:val="00C6629B"/>
    <w:rsid w:val="00C717B0"/>
    <w:rsid w:val="00C71861"/>
    <w:rsid w:val="00C7382F"/>
    <w:rsid w:val="00C76F83"/>
    <w:rsid w:val="00CA5578"/>
    <w:rsid w:val="00CB292A"/>
    <w:rsid w:val="00CF7F98"/>
    <w:rsid w:val="00D11E1E"/>
    <w:rsid w:val="00D27EC0"/>
    <w:rsid w:val="00D458C1"/>
    <w:rsid w:val="00D519CC"/>
    <w:rsid w:val="00D556FA"/>
    <w:rsid w:val="00D7617B"/>
    <w:rsid w:val="00DD1841"/>
    <w:rsid w:val="00DE2646"/>
    <w:rsid w:val="00DF69D7"/>
    <w:rsid w:val="00E01321"/>
    <w:rsid w:val="00E04C06"/>
    <w:rsid w:val="00E12D77"/>
    <w:rsid w:val="00E12DC1"/>
    <w:rsid w:val="00E3376B"/>
    <w:rsid w:val="00E34065"/>
    <w:rsid w:val="00E56356"/>
    <w:rsid w:val="00E60A3E"/>
    <w:rsid w:val="00E6598A"/>
    <w:rsid w:val="00E87B51"/>
    <w:rsid w:val="00E97434"/>
    <w:rsid w:val="00EB2C68"/>
    <w:rsid w:val="00EB38F8"/>
    <w:rsid w:val="00EC49AB"/>
    <w:rsid w:val="00ED05C2"/>
    <w:rsid w:val="00F14DBC"/>
    <w:rsid w:val="00F2483F"/>
    <w:rsid w:val="00F47F87"/>
    <w:rsid w:val="00F762B6"/>
    <w:rsid w:val="00F806D7"/>
    <w:rsid w:val="00F83548"/>
    <w:rsid w:val="00F947C5"/>
    <w:rsid w:val="00F966E5"/>
    <w:rsid w:val="00F96CCC"/>
    <w:rsid w:val="00FA2270"/>
    <w:rsid w:val="00FB0F88"/>
    <w:rsid w:val="00FB3AEC"/>
    <w:rsid w:val="00FD3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FCE3"/>
  <w15:chartTrackingRefBased/>
  <w15:docId w15:val="{3BE6CEA1-5CB6-4777-989B-7706366C0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92A"/>
    <w:pPr>
      <w:ind w:left="720"/>
      <w:contextualSpacing/>
    </w:pPr>
  </w:style>
  <w:style w:type="paragraph" w:customStyle="1" w:styleId="paragraph">
    <w:name w:val="paragraph"/>
    <w:basedOn w:val="Normal"/>
    <w:rsid w:val="00D556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556FA"/>
  </w:style>
  <w:style w:type="character" w:customStyle="1" w:styleId="apple-converted-space">
    <w:name w:val="apple-converted-space"/>
    <w:basedOn w:val="DefaultParagraphFont"/>
    <w:rsid w:val="00D556FA"/>
  </w:style>
  <w:style w:type="character" w:customStyle="1" w:styleId="eop">
    <w:name w:val="eop"/>
    <w:basedOn w:val="DefaultParagraphFont"/>
    <w:rsid w:val="00D556FA"/>
  </w:style>
  <w:style w:type="character" w:styleId="Hyperlink">
    <w:name w:val="Hyperlink"/>
    <w:basedOn w:val="DefaultParagraphFont"/>
    <w:uiPriority w:val="99"/>
    <w:unhideWhenUsed/>
    <w:rsid w:val="00D556FA"/>
    <w:rPr>
      <w:color w:val="0563C1" w:themeColor="hyperlink"/>
      <w:u w:val="single"/>
    </w:rPr>
  </w:style>
  <w:style w:type="character" w:styleId="FollowedHyperlink">
    <w:name w:val="FollowedHyperlink"/>
    <w:basedOn w:val="DefaultParagraphFont"/>
    <w:uiPriority w:val="99"/>
    <w:semiHidden/>
    <w:unhideWhenUsed/>
    <w:rsid w:val="00D556FA"/>
    <w:rPr>
      <w:color w:val="954F72" w:themeColor="followedHyperlink"/>
      <w:u w:val="single"/>
    </w:rPr>
  </w:style>
  <w:style w:type="character" w:customStyle="1" w:styleId="UnresolvedMention1">
    <w:name w:val="Unresolved Mention1"/>
    <w:basedOn w:val="DefaultParagraphFont"/>
    <w:uiPriority w:val="99"/>
    <w:semiHidden/>
    <w:unhideWhenUsed/>
    <w:rsid w:val="00C45ECB"/>
    <w:rPr>
      <w:color w:val="605E5C"/>
      <w:shd w:val="clear" w:color="auto" w:fill="E1DFDD"/>
    </w:rPr>
  </w:style>
  <w:style w:type="paragraph" w:styleId="Header">
    <w:name w:val="header"/>
    <w:basedOn w:val="Normal"/>
    <w:link w:val="HeaderChar"/>
    <w:uiPriority w:val="99"/>
    <w:unhideWhenUsed/>
    <w:rsid w:val="0088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9F4"/>
  </w:style>
  <w:style w:type="paragraph" w:styleId="Footer">
    <w:name w:val="footer"/>
    <w:basedOn w:val="Normal"/>
    <w:link w:val="FooterChar"/>
    <w:uiPriority w:val="99"/>
    <w:unhideWhenUsed/>
    <w:rsid w:val="0088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9F4"/>
  </w:style>
  <w:style w:type="paragraph" w:styleId="Revision">
    <w:name w:val="Revision"/>
    <w:hidden/>
    <w:uiPriority w:val="99"/>
    <w:semiHidden/>
    <w:rsid w:val="00226D5B"/>
    <w:pPr>
      <w:spacing w:after="0" w:line="240" w:lineRule="auto"/>
    </w:pPr>
  </w:style>
  <w:style w:type="paragraph" w:styleId="BalloonText">
    <w:name w:val="Balloon Text"/>
    <w:basedOn w:val="Normal"/>
    <w:link w:val="BalloonTextChar"/>
    <w:uiPriority w:val="99"/>
    <w:semiHidden/>
    <w:unhideWhenUsed/>
    <w:rsid w:val="00C73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82F"/>
    <w:rPr>
      <w:rFonts w:ascii="Segoe UI" w:hAnsi="Segoe UI" w:cs="Segoe UI"/>
      <w:sz w:val="18"/>
      <w:szCs w:val="18"/>
    </w:rPr>
  </w:style>
  <w:style w:type="character" w:styleId="LineNumber">
    <w:name w:val="line number"/>
    <w:basedOn w:val="DefaultParagraphFont"/>
    <w:uiPriority w:val="99"/>
    <w:semiHidden/>
    <w:unhideWhenUsed/>
    <w:rsid w:val="00C6629B"/>
  </w:style>
  <w:style w:type="character" w:styleId="CommentReference">
    <w:name w:val="annotation reference"/>
    <w:basedOn w:val="DefaultParagraphFont"/>
    <w:uiPriority w:val="99"/>
    <w:semiHidden/>
    <w:unhideWhenUsed/>
    <w:rsid w:val="00F947C5"/>
    <w:rPr>
      <w:sz w:val="16"/>
      <w:szCs w:val="16"/>
    </w:rPr>
  </w:style>
  <w:style w:type="paragraph" w:styleId="CommentText">
    <w:name w:val="annotation text"/>
    <w:basedOn w:val="Normal"/>
    <w:link w:val="CommentTextChar"/>
    <w:uiPriority w:val="99"/>
    <w:unhideWhenUsed/>
    <w:rsid w:val="00F947C5"/>
    <w:pPr>
      <w:spacing w:line="240" w:lineRule="auto"/>
    </w:pPr>
    <w:rPr>
      <w:sz w:val="20"/>
      <w:szCs w:val="20"/>
    </w:rPr>
  </w:style>
  <w:style w:type="character" w:customStyle="1" w:styleId="CommentTextChar">
    <w:name w:val="Comment Text Char"/>
    <w:basedOn w:val="DefaultParagraphFont"/>
    <w:link w:val="CommentText"/>
    <w:uiPriority w:val="99"/>
    <w:rsid w:val="00F947C5"/>
    <w:rPr>
      <w:sz w:val="20"/>
      <w:szCs w:val="20"/>
    </w:rPr>
  </w:style>
  <w:style w:type="paragraph" w:styleId="CommentSubject">
    <w:name w:val="annotation subject"/>
    <w:basedOn w:val="CommentText"/>
    <w:next w:val="CommentText"/>
    <w:link w:val="CommentSubjectChar"/>
    <w:uiPriority w:val="99"/>
    <w:semiHidden/>
    <w:unhideWhenUsed/>
    <w:rsid w:val="00F947C5"/>
    <w:rPr>
      <w:b/>
      <w:bCs/>
    </w:rPr>
  </w:style>
  <w:style w:type="character" w:customStyle="1" w:styleId="CommentSubjectChar">
    <w:name w:val="Comment Subject Char"/>
    <w:basedOn w:val="CommentTextChar"/>
    <w:link w:val="CommentSubject"/>
    <w:uiPriority w:val="99"/>
    <w:semiHidden/>
    <w:rsid w:val="00F947C5"/>
    <w:rPr>
      <w:b/>
      <w:bCs/>
      <w:sz w:val="20"/>
      <w:szCs w:val="20"/>
    </w:rPr>
  </w:style>
  <w:style w:type="character" w:styleId="UnresolvedMention">
    <w:name w:val="Unresolved Mention"/>
    <w:basedOn w:val="DefaultParagraphFont"/>
    <w:uiPriority w:val="99"/>
    <w:semiHidden/>
    <w:unhideWhenUsed/>
    <w:rsid w:val="00961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18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fa.uoregon.edu/tuition/2026-27-news-and-updates" TargetMode="External"/><Relationship Id="rId3" Type="http://schemas.openxmlformats.org/officeDocument/2006/relationships/settings" Target="settings.xml"/><Relationship Id="rId7" Type="http://schemas.openxmlformats.org/officeDocument/2006/relationships/hyperlink" Target="https://vpfa.uoregon.edu/tuition/2026-27-news-and-updat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pfa.uoregon.edu/tuition/2026-27-news-and-up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Sharp</dc:creator>
  <cp:keywords/>
  <dc:description/>
  <cp:lastModifiedBy>Debbie Sharp</cp:lastModifiedBy>
  <cp:revision>5</cp:revision>
  <dcterms:created xsi:type="dcterms:W3CDTF">2026-10-28T00:26:00Z</dcterms:created>
  <dcterms:modified xsi:type="dcterms:W3CDTF">2026-10-28T17:27:00Z</dcterms:modified>
</cp:coreProperties>
</file>