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B4977" w14:textId="4D101DF0" w:rsidR="5374A4C7" w:rsidRDefault="5374A4C7" w:rsidP="3006B5EA">
      <w:pPr>
        <w:pStyle w:val="Heading1"/>
        <w:rPr>
          <w:rFonts w:ascii="Calibri Light" w:hAnsi="Calibri Light"/>
        </w:rPr>
      </w:pPr>
      <w:r w:rsidRPr="3006B5EA">
        <w:rPr>
          <w:rFonts w:ascii="Calibri Light" w:hAnsi="Calibri Light"/>
        </w:rPr>
        <w:t xml:space="preserve">Resources for and components of discussion </w:t>
      </w:r>
      <w:r w:rsidR="56A45803" w:rsidRPr="3006B5EA">
        <w:rPr>
          <w:rFonts w:ascii="Calibri Light" w:hAnsi="Calibri Light"/>
        </w:rPr>
        <w:t>structures/</w:t>
      </w:r>
      <w:r w:rsidRPr="3006B5EA">
        <w:rPr>
          <w:rFonts w:ascii="Calibri Light" w:hAnsi="Calibri Light"/>
        </w:rPr>
        <w:t>protocols</w:t>
      </w:r>
    </w:p>
    <w:p w14:paraId="5BE56CFD" w14:textId="2A7CB910" w:rsidR="5374A4C7" w:rsidRDefault="5374A4C7" w:rsidP="3006B5EA">
      <w:r>
        <w:t xml:space="preserve">This document is a short (incomplete!) list of resources for instructors using discussion and dialogue structures that both identifies what the components of a </w:t>
      </w:r>
      <w:r w:rsidR="487B5915">
        <w:t>discussion structure (also called “protocol”) might be and that links to resources on specific discussion structures/protocols.</w:t>
      </w:r>
      <w:r w:rsidR="21F97211">
        <w:t xml:space="preserve"> Discussions can be an important formative assessment tool, and then can also go sideways in ways that do not support learning or community.</w:t>
      </w:r>
    </w:p>
    <w:p w14:paraId="3B82D214" w14:textId="52EBB4A1" w:rsidR="70B00639" w:rsidRDefault="70B00639" w:rsidP="3006B5EA">
      <w:pPr>
        <w:pStyle w:val="Heading2"/>
        <w:rPr>
          <w:rFonts w:ascii="Calibri Light" w:hAnsi="Calibri Light"/>
        </w:rPr>
      </w:pPr>
      <w:r>
        <w:t>Notes on components of discussion</w:t>
      </w:r>
      <w:r w:rsidR="4EE1EF79">
        <w:t xml:space="preserve"> </w:t>
      </w:r>
      <w:r w:rsidR="178F92BC">
        <w:t>structures/</w:t>
      </w:r>
      <w:r>
        <w:t>protocols</w:t>
      </w:r>
    </w:p>
    <w:p w14:paraId="5DEAA62E" w14:textId="173BD65D" w:rsidR="2D660FD6" w:rsidRDefault="2D660FD6" w:rsidP="5CDCA9ED">
      <w:r>
        <w:t>D</w:t>
      </w:r>
      <w:r w:rsidR="55415938">
        <w:t>ialogue/d</w:t>
      </w:r>
      <w:r>
        <w:t xml:space="preserve">iscussion protocols </w:t>
      </w:r>
      <w:r w:rsidR="0CB8826F">
        <w:t xml:space="preserve">generally </w:t>
      </w:r>
      <w:r>
        <w:t>identify</w:t>
      </w:r>
      <w:r w:rsidR="42BF332A">
        <w:t xml:space="preserve"> characteristics</w:t>
      </w:r>
      <w:r w:rsidR="01BADF82">
        <w:t xml:space="preserve"> of the planned dialogue and </w:t>
      </w:r>
      <w:r w:rsidR="486B39A4">
        <w:t>the</w:t>
      </w:r>
      <w:r>
        <w:t xml:space="preserve"> series of steps participants</w:t>
      </w:r>
      <w:r w:rsidR="1F681379">
        <w:t xml:space="preserve"> engage in </w:t>
      </w:r>
      <w:r w:rsidR="528B239B">
        <w:t>during the dialogue (as well as any preparatory or post-group work)</w:t>
      </w:r>
      <w:r w:rsidR="1F681379">
        <w:t xml:space="preserve">. </w:t>
      </w:r>
      <w:r w:rsidR="1C92A26E" w:rsidRPr="3006B5EA">
        <w:rPr>
          <w:i/>
          <w:iCs/>
        </w:rPr>
        <w:t xml:space="preserve">While not all protocols have all of these components written out, with the example of </w:t>
      </w:r>
      <w:r w:rsidR="1FBED113" w:rsidRPr="3006B5EA">
        <w:rPr>
          <w:i/>
          <w:iCs/>
        </w:rPr>
        <w:t>#8 and letter “d,” facilitators</w:t>
      </w:r>
      <w:r w:rsidR="261E24A6" w:rsidRPr="3006B5EA">
        <w:rPr>
          <w:i/>
          <w:iCs/>
        </w:rPr>
        <w:t>/instructors</w:t>
      </w:r>
      <w:r w:rsidR="1FBED113" w:rsidRPr="3006B5EA">
        <w:rPr>
          <w:i/>
          <w:iCs/>
        </w:rPr>
        <w:t xml:space="preserve"> can ideally articulate all </w:t>
      </w:r>
      <w:r w:rsidR="0B5A3E52" w:rsidRPr="3006B5EA">
        <w:rPr>
          <w:i/>
          <w:iCs/>
        </w:rPr>
        <w:t xml:space="preserve">that is below prior to beginning a dialogue they are supporting. </w:t>
      </w:r>
    </w:p>
    <w:p w14:paraId="1EFA9734" w14:textId="0615FEB7" w:rsidR="2C05B77F" w:rsidRDefault="2C05B77F" w:rsidP="5CDCA9ED">
      <w:pPr>
        <w:pStyle w:val="ListParagraph"/>
        <w:numPr>
          <w:ilvl w:val="0"/>
          <w:numId w:val="3"/>
        </w:numPr>
        <w:rPr>
          <w:rFonts w:eastAsiaTheme="minorEastAsia"/>
        </w:rPr>
      </w:pPr>
      <w:r w:rsidRPr="5CDCA9ED">
        <w:rPr>
          <w:b/>
          <w:bCs/>
        </w:rPr>
        <w:t>The purpose of or goal</w:t>
      </w:r>
      <w:r>
        <w:t xml:space="preserve"> for the dialogue(s)</w:t>
      </w:r>
      <w:r w:rsidR="04DEFE9F">
        <w:t xml:space="preserve"> (if multiple dialogues in a series, the purpose and goals for the full series as well as for each individual session)</w:t>
      </w:r>
    </w:p>
    <w:p w14:paraId="1930C237" w14:textId="3DF4A04D" w:rsidR="3493CBD1" w:rsidRDefault="3493CBD1" w:rsidP="5CDCA9ED">
      <w:pPr>
        <w:pStyle w:val="ListParagraph"/>
        <w:numPr>
          <w:ilvl w:val="0"/>
          <w:numId w:val="3"/>
        </w:numPr>
      </w:pPr>
      <w:r w:rsidRPr="37278F1A">
        <w:rPr>
          <w:b/>
          <w:bCs/>
        </w:rPr>
        <w:t xml:space="preserve">Guidance </w:t>
      </w:r>
      <w:r w:rsidR="7DDC8216" w:rsidRPr="37278F1A">
        <w:rPr>
          <w:b/>
          <w:bCs/>
        </w:rPr>
        <w:t>on</w:t>
      </w:r>
      <w:r w:rsidRPr="37278F1A">
        <w:rPr>
          <w:b/>
          <w:bCs/>
        </w:rPr>
        <w:t xml:space="preserve"> the number of participants per group, as well as for the makeup of the groups</w:t>
      </w:r>
      <w:r>
        <w:t xml:space="preserve"> (intergroup, affinity group, or other considerations)</w:t>
      </w:r>
    </w:p>
    <w:p w14:paraId="32A8BD44" w14:textId="2F820B26" w:rsidR="3493CBD1" w:rsidRDefault="3493CBD1" w:rsidP="5CDCA9ED">
      <w:pPr>
        <w:pStyle w:val="ListParagraph"/>
        <w:numPr>
          <w:ilvl w:val="0"/>
          <w:numId w:val="3"/>
        </w:numPr>
      </w:pPr>
      <w:r w:rsidRPr="5CDCA9ED">
        <w:rPr>
          <w:b/>
          <w:bCs/>
        </w:rPr>
        <w:t>Time range estimate</w:t>
      </w:r>
      <w:r w:rsidR="333771C4" w:rsidRPr="5CDCA9ED">
        <w:rPr>
          <w:b/>
          <w:bCs/>
        </w:rPr>
        <w:t>s</w:t>
      </w:r>
      <w:r>
        <w:t xml:space="preserve"> for the full session</w:t>
      </w:r>
      <w:r w:rsidR="2B25156E">
        <w:t>, as well as for individual components (for example, timing for rounds of dialogue in small groups, or even amount of time per participant)</w:t>
      </w:r>
    </w:p>
    <w:p w14:paraId="22F7D969" w14:textId="5B87396E" w:rsidR="0C8DC0E2" w:rsidRDefault="0C8DC0E2" w:rsidP="5CDCA9ED">
      <w:pPr>
        <w:pStyle w:val="ListParagraph"/>
        <w:numPr>
          <w:ilvl w:val="0"/>
          <w:numId w:val="3"/>
        </w:numPr>
      </w:pPr>
      <w:r w:rsidRPr="5CDCA9ED">
        <w:rPr>
          <w:b/>
          <w:bCs/>
        </w:rPr>
        <w:t xml:space="preserve">Any preparation participants should do prior </w:t>
      </w:r>
      <w:r>
        <w:t>(questions to consider, texts to read, etc.)</w:t>
      </w:r>
    </w:p>
    <w:p w14:paraId="4F051449" w14:textId="1C5C30F8" w:rsidR="1F681379" w:rsidRDefault="0E9E9851" w:rsidP="5CDCA9ED">
      <w:pPr>
        <w:pStyle w:val="ListParagraph"/>
        <w:numPr>
          <w:ilvl w:val="0"/>
          <w:numId w:val="3"/>
        </w:numPr>
      </w:pPr>
      <w:r w:rsidRPr="3006B5EA">
        <w:rPr>
          <w:b/>
          <w:bCs/>
        </w:rPr>
        <w:t xml:space="preserve">The </w:t>
      </w:r>
      <w:r w:rsidR="1F681379" w:rsidRPr="3006B5EA">
        <w:rPr>
          <w:b/>
          <w:bCs/>
        </w:rPr>
        <w:t xml:space="preserve">roles and </w:t>
      </w:r>
      <w:r w:rsidR="448EFA08" w:rsidRPr="3006B5EA">
        <w:rPr>
          <w:b/>
          <w:bCs/>
        </w:rPr>
        <w:t>responsibilities</w:t>
      </w:r>
      <w:r w:rsidR="1F681379">
        <w:t xml:space="preserve"> </w:t>
      </w:r>
      <w:r w:rsidR="0640E9B7">
        <w:t>for that</w:t>
      </w:r>
      <w:r w:rsidR="1F681379">
        <w:t xml:space="preserve"> role (for facilitator(s) and participants)</w:t>
      </w:r>
    </w:p>
    <w:p w14:paraId="18CA3FF7" w14:textId="78972FF3" w:rsidR="58CD3843" w:rsidRDefault="014A1E30" w:rsidP="5CDCA9ED">
      <w:pPr>
        <w:pStyle w:val="ListParagraph"/>
        <w:numPr>
          <w:ilvl w:val="0"/>
          <w:numId w:val="3"/>
        </w:numPr>
        <w:spacing w:after="0"/>
        <w:rPr>
          <w:rFonts w:eastAsiaTheme="minorEastAsia"/>
        </w:rPr>
      </w:pPr>
      <w:r w:rsidRPr="3006B5EA">
        <w:rPr>
          <w:b/>
          <w:bCs/>
        </w:rPr>
        <w:t xml:space="preserve">The </w:t>
      </w:r>
      <w:r w:rsidR="58CD3843" w:rsidRPr="3006B5EA">
        <w:rPr>
          <w:b/>
          <w:bCs/>
        </w:rPr>
        <w:t>“tools” the facilitator</w:t>
      </w:r>
      <w:r w:rsidR="3D7E248A" w:rsidRPr="3006B5EA">
        <w:rPr>
          <w:b/>
          <w:bCs/>
        </w:rPr>
        <w:t>/instructor</w:t>
      </w:r>
      <w:r w:rsidR="58CD3843" w:rsidRPr="3006B5EA">
        <w:rPr>
          <w:b/>
          <w:bCs/>
        </w:rPr>
        <w:t xml:space="preserve"> may be introducing prior to or during the session that will support </w:t>
      </w:r>
      <w:r w:rsidR="017AA45E" w:rsidRPr="3006B5EA">
        <w:rPr>
          <w:b/>
          <w:bCs/>
        </w:rPr>
        <w:t xml:space="preserve">and recenter </w:t>
      </w:r>
      <w:r w:rsidR="58CD3843" w:rsidRPr="3006B5EA">
        <w:rPr>
          <w:b/>
          <w:bCs/>
        </w:rPr>
        <w:t>the dialogue.</w:t>
      </w:r>
      <w:r w:rsidR="58CD3843">
        <w:t xml:space="preserve"> Most frequently this is a version of a group agreement or community guidelines</w:t>
      </w:r>
      <w:r w:rsidR="32C178BC">
        <w:t>; this might also be images</w:t>
      </w:r>
      <w:r w:rsidR="17794DD3">
        <w:t>--</w:t>
      </w:r>
      <w:r w:rsidR="32C178BC">
        <w:t>such as the compass in Courageous Conversation</w:t>
      </w:r>
      <w:r w:rsidR="64BE8C02">
        <w:t>—or a talking object.</w:t>
      </w:r>
    </w:p>
    <w:p w14:paraId="47AC2FA0" w14:textId="04E656C9" w:rsidR="793316C8" w:rsidRDefault="226B6722" w:rsidP="5CDCA9ED">
      <w:pPr>
        <w:pStyle w:val="ListParagraph"/>
        <w:numPr>
          <w:ilvl w:val="0"/>
          <w:numId w:val="3"/>
        </w:numPr>
      </w:pPr>
      <w:r w:rsidRPr="3006B5EA">
        <w:rPr>
          <w:b/>
          <w:bCs/>
        </w:rPr>
        <w:t>W</w:t>
      </w:r>
      <w:r w:rsidR="793316C8" w:rsidRPr="3006B5EA">
        <w:rPr>
          <w:b/>
          <w:bCs/>
        </w:rPr>
        <w:t xml:space="preserve">hat </w:t>
      </w:r>
      <w:r w:rsidR="488EFF51" w:rsidRPr="3006B5EA">
        <w:rPr>
          <w:b/>
          <w:bCs/>
        </w:rPr>
        <w:t xml:space="preserve">physical or rhetorical </w:t>
      </w:r>
      <w:r w:rsidR="793316C8" w:rsidRPr="3006B5EA">
        <w:rPr>
          <w:b/>
          <w:bCs/>
        </w:rPr>
        <w:t>setup the facilitator</w:t>
      </w:r>
      <w:r w:rsidR="21B14F10" w:rsidRPr="3006B5EA">
        <w:rPr>
          <w:b/>
          <w:bCs/>
        </w:rPr>
        <w:t>/instructor</w:t>
      </w:r>
      <w:r w:rsidR="793316C8" w:rsidRPr="3006B5EA">
        <w:rPr>
          <w:b/>
          <w:bCs/>
        </w:rPr>
        <w:t xml:space="preserve"> will want to do</w:t>
      </w:r>
      <w:r w:rsidR="706C32C3">
        <w:t xml:space="preserve"> </w:t>
      </w:r>
      <w:r w:rsidR="793316C8">
        <w:t>(verbal setup, setting up chairs/zoom rooms/etc.</w:t>
      </w:r>
      <w:r w:rsidR="54DC58F8">
        <w:t>)</w:t>
      </w:r>
      <w:r w:rsidR="4BD114C8">
        <w:t xml:space="preserve">. This </w:t>
      </w:r>
      <w:r w:rsidR="54DC58F8">
        <w:t xml:space="preserve">frequently includes tips of </w:t>
      </w:r>
      <w:r w:rsidR="755B9C39">
        <w:t xml:space="preserve">actions or messages that will decrease the cognitive energy might spend trying to figure out how to do the structure so they can focus </w:t>
      </w:r>
      <w:r w:rsidR="6B06D045">
        <w:t xml:space="preserve">on participating. Using a short fishbowl demonstration, a </w:t>
      </w:r>
      <w:r w:rsidR="217AB3E4">
        <w:t>visual representation, or a short video clip are all common supports.</w:t>
      </w:r>
    </w:p>
    <w:p w14:paraId="5E074C2E" w14:textId="1C50A117" w:rsidR="69B285C0" w:rsidRDefault="3BCA9E81" w:rsidP="5CDCA9ED">
      <w:pPr>
        <w:pStyle w:val="ListParagraph"/>
        <w:numPr>
          <w:ilvl w:val="0"/>
          <w:numId w:val="3"/>
        </w:numPr>
      </w:pPr>
      <w:r w:rsidRPr="3006B5EA">
        <w:rPr>
          <w:b/>
          <w:bCs/>
        </w:rPr>
        <w:t xml:space="preserve">Clarity </w:t>
      </w:r>
      <w:r w:rsidR="69B285C0" w:rsidRPr="3006B5EA">
        <w:rPr>
          <w:b/>
          <w:bCs/>
        </w:rPr>
        <w:t>about when to intervene or redirect</w:t>
      </w:r>
      <w:r w:rsidR="69B285C0">
        <w:t xml:space="preserve">, </w:t>
      </w:r>
      <w:r w:rsidR="07A9DD8B">
        <w:t>given the goals and participants</w:t>
      </w:r>
      <w:r w:rsidR="69B285C0">
        <w:t xml:space="preserve"> </w:t>
      </w:r>
    </w:p>
    <w:p w14:paraId="5B664FB4" w14:textId="2F2AF11C" w:rsidR="363FDABC" w:rsidRDefault="51217948" w:rsidP="5CDCA9ED">
      <w:pPr>
        <w:pStyle w:val="ListParagraph"/>
        <w:numPr>
          <w:ilvl w:val="0"/>
          <w:numId w:val="3"/>
        </w:numPr>
      </w:pPr>
      <w:r w:rsidRPr="3006B5EA">
        <w:rPr>
          <w:b/>
          <w:bCs/>
        </w:rPr>
        <w:t xml:space="preserve">Clarity about </w:t>
      </w:r>
      <w:r w:rsidR="4B1F21F2" w:rsidRPr="3006B5EA">
        <w:rPr>
          <w:b/>
          <w:bCs/>
        </w:rPr>
        <w:t>how the dialogue moves/what steps exist</w:t>
      </w:r>
      <w:r w:rsidR="4B1F21F2">
        <w:t>, for example:</w:t>
      </w:r>
      <w:r w:rsidR="363FDABC">
        <w:tab/>
      </w:r>
    </w:p>
    <w:p w14:paraId="02D2B8B2" w14:textId="29D1155D" w:rsidR="3663A069" w:rsidRDefault="3663A069" w:rsidP="5CDCA9ED">
      <w:pPr>
        <w:pStyle w:val="ListParagraph"/>
        <w:numPr>
          <w:ilvl w:val="1"/>
          <w:numId w:val="3"/>
        </w:numPr>
      </w:pPr>
      <w:r w:rsidRPr="5CDCA9ED">
        <w:rPr>
          <w:i/>
          <w:iCs/>
        </w:rPr>
        <w:t xml:space="preserve">Turn-taking: </w:t>
      </w:r>
      <w:r>
        <w:t>w</w:t>
      </w:r>
      <w:r w:rsidR="4B1F21F2">
        <w:t>hether dialogue uses timed turn-taking, is a back/forth discussion, uses a talking object</w:t>
      </w:r>
    </w:p>
    <w:p w14:paraId="6F16D147" w14:textId="6681A183" w:rsidR="793438A0" w:rsidRDefault="793438A0" w:rsidP="5CDCA9ED">
      <w:pPr>
        <w:pStyle w:val="ListParagraph"/>
        <w:numPr>
          <w:ilvl w:val="1"/>
          <w:numId w:val="3"/>
        </w:numPr>
      </w:pPr>
      <w:r w:rsidRPr="5CDCA9ED">
        <w:rPr>
          <w:i/>
          <w:iCs/>
        </w:rPr>
        <w:t>T</w:t>
      </w:r>
      <w:r w:rsidR="4B1F21F2" w:rsidRPr="5CDCA9ED">
        <w:rPr>
          <w:i/>
          <w:iCs/>
        </w:rPr>
        <w:t xml:space="preserve">ypes of questions or prompts </w:t>
      </w:r>
      <w:r w:rsidR="4B1F21F2">
        <w:t>the groups are focused on, and in what order</w:t>
      </w:r>
    </w:p>
    <w:p w14:paraId="717D2435" w14:textId="11E810E2" w:rsidR="45ABF994" w:rsidRDefault="45ABF994" w:rsidP="5CDCA9ED">
      <w:pPr>
        <w:pStyle w:val="ListParagraph"/>
        <w:numPr>
          <w:ilvl w:val="1"/>
          <w:numId w:val="3"/>
        </w:numPr>
        <w:rPr>
          <w:rFonts w:eastAsiaTheme="minorEastAsia"/>
        </w:rPr>
      </w:pPr>
      <w:r w:rsidRPr="5CDCA9ED">
        <w:rPr>
          <w:i/>
          <w:iCs/>
        </w:rPr>
        <w:t xml:space="preserve">How people move between groups </w:t>
      </w:r>
      <w:r>
        <w:t>(or between groups and solo reflection) and when (i</w:t>
      </w:r>
      <w:r w:rsidR="6A89CE81">
        <w:t>f dialogue is in small groups and groups are not static</w:t>
      </w:r>
      <w:r w:rsidR="0FD3AEC0">
        <w:t>)</w:t>
      </w:r>
    </w:p>
    <w:p w14:paraId="6F9B4410" w14:textId="1025AE28" w:rsidR="0EE7BCB0" w:rsidRDefault="0EE7BCB0" w:rsidP="5CDCA9ED">
      <w:pPr>
        <w:pStyle w:val="ListParagraph"/>
        <w:numPr>
          <w:ilvl w:val="1"/>
          <w:numId w:val="3"/>
        </w:numPr>
      </w:pPr>
      <w:r w:rsidRPr="5CDCA9ED">
        <w:rPr>
          <w:i/>
          <w:iCs/>
        </w:rPr>
        <w:t>If community guidelines are co-created, steps for co-creating them</w:t>
      </w:r>
      <w:r>
        <w:t xml:space="preserve"> (especially if there </w:t>
      </w:r>
      <w:bookmarkStart w:id="0" w:name="_GoBack"/>
      <w:r>
        <w:t>are multiple groups and multiple sessions) and notes about refining</w:t>
      </w:r>
      <w:r w:rsidR="05DE3792">
        <w:t>, sharing, and</w:t>
      </w:r>
      <w:r>
        <w:t xml:space="preserve"> </w:t>
      </w:r>
      <w:bookmarkEnd w:id="0"/>
      <w:r>
        <w:t>reintroducing them.</w:t>
      </w:r>
      <w:r w:rsidR="277AFF85">
        <w:t xml:space="preserve"> </w:t>
      </w:r>
    </w:p>
    <w:p w14:paraId="7FC92F45" w14:textId="6FA7285D" w:rsidR="1EC4A5E9" w:rsidRDefault="1EC4A5E9" w:rsidP="3006B5EA">
      <w:pPr>
        <w:pStyle w:val="ListParagraph"/>
        <w:numPr>
          <w:ilvl w:val="1"/>
          <w:numId w:val="3"/>
        </w:numPr>
      </w:pPr>
      <w:r w:rsidRPr="3006B5EA">
        <w:rPr>
          <w:i/>
          <w:iCs/>
        </w:rPr>
        <w:t>Steps for the debrief process</w:t>
      </w:r>
      <w:r>
        <w:t xml:space="preserve"> and how the facilitator supports (including bringing findings or shares from the debrief into any subsequent sessions)</w:t>
      </w:r>
    </w:p>
    <w:p w14:paraId="171D99B4" w14:textId="4AEAB446" w:rsidR="4FE78260" w:rsidRDefault="4FE78260" w:rsidP="3006B5EA">
      <w:r>
        <w:lastRenderedPageBreak/>
        <w:t xml:space="preserve">Notes </w:t>
      </w:r>
      <w:r w:rsidR="5D181849">
        <w:t xml:space="preserve">above </w:t>
      </w:r>
      <w:r>
        <w:t xml:space="preserve">summarize Laurel’s observations of </w:t>
      </w:r>
      <w:r w:rsidR="776A6ED5">
        <w:t>elements of a structure that supports engagement, but are not the structures themselves</w:t>
      </w:r>
      <w:r w:rsidR="0A37C39D">
        <w:t xml:space="preserve">. Below you can find </w:t>
      </w:r>
      <w:r w:rsidR="4ABB95AA">
        <w:t xml:space="preserve">a short list of </w:t>
      </w:r>
      <w:r w:rsidR="0A37C39D">
        <w:t>additional guidance on setting up supportive conditions for discussion, as well as some examples of particular discussion structures:</w:t>
      </w:r>
    </w:p>
    <w:p w14:paraId="7CE0BB0C" w14:textId="4C415429" w:rsidR="3006B5EA" w:rsidRDefault="3006B5EA" w:rsidP="3006B5EA">
      <w:pPr>
        <w:pStyle w:val="Heading2"/>
      </w:pPr>
    </w:p>
    <w:p w14:paraId="35E1615E" w14:textId="586D6D95" w:rsidR="07203E47" w:rsidRDefault="07203E47" w:rsidP="3006B5EA">
      <w:pPr>
        <w:pStyle w:val="Heading2"/>
      </w:pPr>
      <w:r>
        <w:t>Resources for s</w:t>
      </w:r>
      <w:r w:rsidR="5AFA2D55">
        <w:t xml:space="preserve">upportive conditions </w:t>
      </w:r>
      <w:r w:rsidR="28BC3599">
        <w:t>&amp; specific structures</w:t>
      </w:r>
      <w:r w:rsidR="5AFA2D55">
        <w:t>:</w:t>
      </w:r>
    </w:p>
    <w:p w14:paraId="2EFC73E4" w14:textId="49A4342C" w:rsidR="5CEE24F0" w:rsidRDefault="002C3F8F" w:rsidP="3006B5EA">
      <w:pPr>
        <w:pStyle w:val="ListParagraph"/>
        <w:numPr>
          <w:ilvl w:val="0"/>
          <w:numId w:val="2"/>
        </w:numPr>
        <w:rPr>
          <w:rStyle w:val="Hyperlink"/>
          <w:rFonts w:eastAsiaTheme="minorEastAsia"/>
          <w:color w:val="0563C1"/>
        </w:rPr>
      </w:pPr>
      <w:hyperlink r:id="rId7">
        <w:r w:rsidR="5CEE24F0" w:rsidRPr="3006B5EA">
          <w:rPr>
            <w:rStyle w:val="Hyperlink"/>
          </w:rPr>
          <w:t>Discussion Protocols:</w:t>
        </w:r>
      </w:hyperlink>
      <w:r w:rsidR="5CEE24F0">
        <w:t xml:space="preserve"> a short summary of a dozen different protocols that connecting to different purposes from Harvard’s Teaching and Learning Lab. One of my favorite overviews!</w:t>
      </w:r>
    </w:p>
    <w:p w14:paraId="045403F7" w14:textId="6045CD6B" w:rsidR="013DDA05" w:rsidRDefault="013DDA05" w:rsidP="3006B5EA">
      <w:pPr>
        <w:pStyle w:val="ListParagraph"/>
        <w:numPr>
          <w:ilvl w:val="0"/>
          <w:numId w:val="2"/>
        </w:numPr>
        <w:rPr>
          <w:color w:val="0563C1"/>
        </w:rPr>
      </w:pPr>
      <w:r>
        <w:t>Liberating Structures (</w:t>
      </w:r>
      <w:hyperlink r:id="rId8">
        <w:r w:rsidRPr="3006B5EA">
          <w:rPr>
            <w:rStyle w:val="Hyperlink"/>
          </w:rPr>
          <w:t>handbook by creators</w:t>
        </w:r>
        <w:r w:rsidR="4649559A" w:rsidRPr="3006B5EA">
          <w:rPr>
            <w:rStyle w:val="Hyperlink"/>
          </w:rPr>
          <w:t>;</w:t>
        </w:r>
      </w:hyperlink>
      <w:r w:rsidR="4649559A">
        <w:t xml:space="preserve"> </w:t>
      </w:r>
      <w:r>
        <w:t xml:space="preserve"> </w:t>
      </w:r>
      <w:hyperlink r:id="rId9">
        <w:r w:rsidRPr="3006B5EA">
          <w:rPr>
            <w:rStyle w:val="Hyperlink"/>
          </w:rPr>
          <w:t>their website</w:t>
        </w:r>
        <w:r w:rsidR="2E2419CA" w:rsidRPr="3006B5EA">
          <w:rPr>
            <w:rStyle w:val="Hyperlink"/>
          </w:rPr>
          <w:t>;</w:t>
        </w:r>
      </w:hyperlink>
      <w:r w:rsidR="2E2419CA">
        <w:t xml:space="preserve"> </w:t>
      </w:r>
      <w:hyperlink r:id="rId10">
        <w:r w:rsidR="2E2419CA" w:rsidRPr="3006B5EA">
          <w:rPr>
            <w:rStyle w:val="Hyperlink"/>
          </w:rPr>
          <w:t>handbook on using structures in virtual contexts</w:t>
        </w:r>
      </w:hyperlink>
      <w:r>
        <w:t>)</w:t>
      </w:r>
      <w:r w:rsidR="31E4C2D9">
        <w:t>: a set of discussion structures that can be used in isolation or in a progression, are tailored to specific purposes, and have been used effectively in a number of fields solving “real world” challenges</w:t>
      </w:r>
      <w:r w:rsidR="7089A80A">
        <w:t>. May be of particular interest for those who value collective learning and action and those who want to center critical thinking.</w:t>
      </w:r>
      <w:r w:rsidR="31E4C2D9">
        <w:t xml:space="preserve"> </w:t>
      </w:r>
    </w:p>
    <w:p w14:paraId="4C43DA3B" w14:textId="5DA79639" w:rsidR="0A37C39D" w:rsidRDefault="002C3F8F" w:rsidP="3006B5EA">
      <w:pPr>
        <w:pStyle w:val="ListParagraph"/>
        <w:numPr>
          <w:ilvl w:val="0"/>
          <w:numId w:val="2"/>
        </w:numPr>
      </w:pPr>
      <w:hyperlink r:id="rId11">
        <w:r w:rsidR="0A37C39D" w:rsidRPr="3006B5EA">
          <w:rPr>
            <w:rStyle w:val="Hyperlink"/>
          </w:rPr>
          <w:t>Beyond the Breakout: Strategies and Structures for Better Discussions</w:t>
        </w:r>
      </w:hyperlink>
      <w:r w:rsidR="0A37C39D">
        <w:t xml:space="preserve"> (p</w:t>
      </w:r>
      <w:r w:rsidR="64169A9D">
        <w:t>df from a presentation I did in spring 2021)</w:t>
      </w:r>
    </w:p>
    <w:p w14:paraId="48E76158" w14:textId="4B9A0943" w:rsidR="4CFBD23F" w:rsidRDefault="002C3F8F" w:rsidP="3006B5EA">
      <w:pPr>
        <w:pStyle w:val="ListParagraph"/>
        <w:numPr>
          <w:ilvl w:val="0"/>
          <w:numId w:val="2"/>
        </w:numPr>
      </w:pPr>
      <w:hyperlink r:id="rId12">
        <w:r w:rsidR="4CFBD23F" w:rsidRPr="3006B5EA">
          <w:rPr>
            <w:rStyle w:val="Hyperlink"/>
          </w:rPr>
          <w:t>Jigsaw and Last Word:</w:t>
        </w:r>
      </w:hyperlink>
      <w:r w:rsidR="4CFBD23F">
        <w:t xml:space="preserve"> description </w:t>
      </w:r>
      <w:r w:rsidR="7159C06D">
        <w:t xml:space="preserve">in Word doc </w:t>
      </w:r>
      <w:r w:rsidR="4CFBD23F">
        <w:t>of these two structures and how to employ them for session Bailey and Laurel did in spring 2021</w:t>
      </w:r>
      <w:r w:rsidR="4D800461">
        <w:t xml:space="preserve"> (warning—text heavy! But has details for large-enrollment classes to ease transitions)</w:t>
      </w:r>
    </w:p>
    <w:p w14:paraId="5FACFEB1" w14:textId="518BAB90" w:rsidR="6BDF1C19" w:rsidRDefault="002C3F8F" w:rsidP="3006B5EA">
      <w:pPr>
        <w:pStyle w:val="ListParagraph"/>
        <w:numPr>
          <w:ilvl w:val="0"/>
          <w:numId w:val="2"/>
        </w:numPr>
        <w:rPr>
          <w:rFonts w:eastAsiaTheme="minorEastAsia"/>
          <w:color w:val="0563C1"/>
        </w:rPr>
      </w:pPr>
      <w:hyperlink r:id="rId13">
        <w:r w:rsidR="6BDF1C19" w:rsidRPr="3006B5EA">
          <w:rPr>
            <w:rStyle w:val="Hyperlink"/>
          </w:rPr>
          <w:t>Infographic of Jigsaw and Last Word:</w:t>
        </w:r>
      </w:hyperlink>
      <w:r w:rsidR="6BDF1C19">
        <w:t xml:space="preserve"> really lovely infographic Bailey made for spring 2021 workshop on using these two discussion structures</w:t>
      </w:r>
    </w:p>
    <w:p w14:paraId="3E88CB39" w14:textId="7E1CD503" w:rsidR="6D4F404B" w:rsidRDefault="002C3F8F" w:rsidP="3006B5EA">
      <w:pPr>
        <w:pStyle w:val="ListParagraph"/>
        <w:numPr>
          <w:ilvl w:val="0"/>
          <w:numId w:val="2"/>
        </w:numPr>
        <w:rPr>
          <w:color w:val="0563C1"/>
        </w:rPr>
      </w:pPr>
      <w:hyperlink r:id="rId14">
        <w:r w:rsidR="6D4F404B" w:rsidRPr="3006B5EA">
          <w:rPr>
            <w:rStyle w:val="Hyperlink"/>
          </w:rPr>
          <w:t>The Discussion Book:</w:t>
        </w:r>
      </w:hyperlink>
      <w:r w:rsidR="6D4F404B">
        <w:t xml:space="preserve"> a very user-friendly text by </w:t>
      </w:r>
      <w:proofErr w:type="spellStart"/>
      <w:r w:rsidR="6D4F404B">
        <w:t>Brookfeild</w:t>
      </w:r>
      <w:proofErr w:type="spellEnd"/>
      <w:r w:rsidR="6D4F404B">
        <w:t xml:space="preserve"> and </w:t>
      </w:r>
      <w:proofErr w:type="spellStart"/>
      <w:r w:rsidR="6D4F404B">
        <w:t>Preskill</w:t>
      </w:r>
      <w:proofErr w:type="spellEnd"/>
      <w:r w:rsidR="6D4F404B">
        <w:t>, folks who have focused t</w:t>
      </w:r>
      <w:r w:rsidR="31D689BF">
        <w:t>heir careers on discussion in education. Includes 50 different discussion structures in an easy to apply format and organized by purpose.</w:t>
      </w:r>
    </w:p>
    <w:p w14:paraId="5C6ECF1A" w14:textId="2C8AFD72" w:rsidR="3006B5EA" w:rsidRDefault="3006B5EA" w:rsidP="3006B5EA">
      <w:pPr>
        <w:pStyle w:val="Heading2"/>
      </w:pPr>
    </w:p>
    <w:p w14:paraId="5932CB64" w14:textId="0A9483D9" w:rsidR="15D31DB9" w:rsidRDefault="15D31DB9" w:rsidP="3006B5EA">
      <w:pPr>
        <w:pStyle w:val="Heading2"/>
        <w:rPr>
          <w:rFonts w:ascii="Calibri Light" w:hAnsi="Calibri Light"/>
        </w:rPr>
      </w:pPr>
      <w:r>
        <w:t>Resources for students</w:t>
      </w:r>
    </w:p>
    <w:p w14:paraId="6016669C" w14:textId="18006958" w:rsidR="15D31DB9" w:rsidRDefault="15D31DB9" w:rsidP="3006B5EA">
      <w:r>
        <w:t xml:space="preserve">Discussion is, of course, a skill (one many of us are still learning). To do it well is to explicitly name the moves we are making when we have discussion that supports inquiry and learning. Educators Stephen Brookfield and Stephen Preskill </w:t>
      </w:r>
      <w:r w:rsidR="211AE479">
        <w:t>(authors of the last bulleted text above) have a set of questions and a set of “moves” that they share with students. I’ve slightly adapted them below, and I share these with students at the beginning of the term, and we practice with them when having discussions</w:t>
      </w:r>
      <w:r w:rsidR="1B388037">
        <w:t xml:space="preserve">. </w:t>
      </w:r>
    </w:p>
    <w:p w14:paraId="7ABFE413" w14:textId="692CC210" w:rsidR="1B388037" w:rsidRDefault="1B388037" w:rsidP="3006B5EA">
      <w:pPr>
        <w:pStyle w:val="Heading3"/>
        <w:rPr>
          <w:rFonts w:ascii="Calibri Light" w:hAnsi="Calibri Light"/>
          <w:color w:val="1F3763"/>
        </w:rPr>
      </w:pPr>
      <w:r w:rsidRPr="3006B5EA">
        <w:t>Strategic questioning (CLOSE-UP)*</w:t>
      </w:r>
    </w:p>
    <w:p w14:paraId="490E80C1" w14:textId="011B7433" w:rsidR="1B388037" w:rsidRDefault="1B388037" w:rsidP="3006B5EA">
      <w:pPr>
        <w:spacing w:line="257" w:lineRule="auto"/>
      </w:pPr>
      <w:r w:rsidRPr="3006B5EA">
        <w:rPr>
          <w:rFonts w:ascii="Times New Roman" w:eastAsia="Times New Roman" w:hAnsi="Times New Roman" w:cs="Times New Roman"/>
          <w:sz w:val="24"/>
          <w:szCs w:val="24"/>
        </w:rPr>
        <w:t>(Clarity): What do you mean by that? Can you put that another way?</w:t>
      </w:r>
    </w:p>
    <w:p w14:paraId="6666F380" w14:textId="3ED56F34" w:rsidR="1B388037" w:rsidRDefault="1B388037" w:rsidP="3006B5EA">
      <w:pPr>
        <w:spacing w:line="257" w:lineRule="auto"/>
      </w:pPr>
      <w:r w:rsidRPr="3006B5EA">
        <w:rPr>
          <w:rFonts w:ascii="Times New Roman" w:eastAsia="Times New Roman" w:hAnsi="Times New Roman" w:cs="Times New Roman"/>
          <w:sz w:val="24"/>
          <w:szCs w:val="24"/>
        </w:rPr>
        <w:t>(Linking): How is that similar to the other reading? How does your view connect with X’s?</w:t>
      </w:r>
    </w:p>
    <w:p w14:paraId="647E9A8E" w14:textId="2B920FD9" w:rsidR="1B388037" w:rsidRDefault="1B388037" w:rsidP="3006B5EA">
      <w:pPr>
        <w:spacing w:line="257" w:lineRule="auto"/>
      </w:pPr>
      <w:r w:rsidRPr="3006B5EA">
        <w:rPr>
          <w:rFonts w:ascii="Times New Roman" w:eastAsia="Times New Roman" w:hAnsi="Times New Roman" w:cs="Times New Roman"/>
          <w:sz w:val="24"/>
          <w:szCs w:val="24"/>
        </w:rPr>
        <w:t>(Open-ended): What interests you about __? What’s happening here?</w:t>
      </w:r>
    </w:p>
    <w:p w14:paraId="3B31FEEF" w14:textId="312F7FBF" w:rsidR="1B388037" w:rsidRDefault="1B388037" w:rsidP="3006B5EA">
      <w:pPr>
        <w:spacing w:line="257" w:lineRule="auto"/>
      </w:pPr>
      <w:r w:rsidRPr="3006B5EA">
        <w:rPr>
          <w:rFonts w:ascii="Times New Roman" w:eastAsia="Times New Roman" w:hAnsi="Times New Roman" w:cs="Times New Roman"/>
          <w:sz w:val="24"/>
          <w:szCs w:val="24"/>
        </w:rPr>
        <w:t>(Synthesis): What stands out from the discussion? What question do we still have?</w:t>
      </w:r>
    </w:p>
    <w:p w14:paraId="3DD205C4" w14:textId="35FDB951" w:rsidR="1B388037" w:rsidRDefault="1B388037" w:rsidP="3006B5EA">
      <w:pPr>
        <w:spacing w:line="257" w:lineRule="auto"/>
      </w:pPr>
      <w:r w:rsidRPr="3006B5EA">
        <w:rPr>
          <w:rFonts w:ascii="Times New Roman" w:eastAsia="Times New Roman" w:hAnsi="Times New Roman" w:cs="Times New Roman"/>
          <w:sz w:val="24"/>
          <w:szCs w:val="24"/>
        </w:rPr>
        <w:t>(Evidence): How do you know this? What experience is the analysis based on?</w:t>
      </w:r>
    </w:p>
    <w:p w14:paraId="3E2AC87A" w14:textId="6993D829" w:rsidR="1B388037" w:rsidRDefault="1B388037" w:rsidP="3006B5EA">
      <w:pPr>
        <w:spacing w:line="257" w:lineRule="auto"/>
      </w:pPr>
      <w:r w:rsidRPr="3006B5EA">
        <w:rPr>
          <w:rFonts w:ascii="Times New Roman" w:eastAsia="Times New Roman" w:hAnsi="Times New Roman" w:cs="Times New Roman"/>
          <w:sz w:val="24"/>
          <w:szCs w:val="24"/>
        </w:rPr>
        <w:t>(Understanding): Why is this happening? How do you explain the situation?</w:t>
      </w:r>
    </w:p>
    <w:p w14:paraId="3AFA79FB" w14:textId="12F64A4B" w:rsidR="1B388037" w:rsidRDefault="1B388037" w:rsidP="3006B5EA">
      <w:pPr>
        <w:spacing w:line="257" w:lineRule="auto"/>
      </w:pPr>
      <w:r w:rsidRPr="3006B5EA">
        <w:rPr>
          <w:rFonts w:ascii="Times New Roman" w:eastAsia="Times New Roman" w:hAnsi="Times New Roman" w:cs="Times New Roman"/>
          <w:sz w:val="24"/>
          <w:szCs w:val="24"/>
        </w:rPr>
        <w:t>(Priority): What matters to you most about this? What’s the most important value to consider?</w:t>
      </w:r>
    </w:p>
    <w:p w14:paraId="1EFB64DF" w14:textId="34F69904" w:rsidR="3006B5EA" w:rsidRDefault="3006B5EA" w:rsidP="3006B5EA">
      <w:pPr>
        <w:spacing w:line="276" w:lineRule="auto"/>
        <w:rPr>
          <w:rFonts w:ascii="Times New Roman" w:eastAsia="Times New Roman" w:hAnsi="Times New Roman" w:cs="Times New Roman"/>
          <w:b/>
          <w:bCs/>
          <w:sz w:val="24"/>
          <w:szCs w:val="24"/>
        </w:rPr>
      </w:pPr>
    </w:p>
    <w:p w14:paraId="44876EB0" w14:textId="13BD32DF" w:rsidR="1B388037" w:rsidRDefault="1B388037" w:rsidP="3006B5EA">
      <w:pPr>
        <w:pStyle w:val="Heading3"/>
        <w:rPr>
          <w:rFonts w:ascii="Calibri Light" w:hAnsi="Calibri Light"/>
          <w:color w:val="1F3763"/>
        </w:rPr>
      </w:pPr>
      <w:r w:rsidRPr="3006B5EA">
        <w:t>Conversational Moves:*</w:t>
      </w:r>
    </w:p>
    <w:p w14:paraId="53E57E62" w14:textId="3483E9CF"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Ask a question or make a statement that shows you’re interested in what another person says.</w:t>
      </w:r>
    </w:p>
    <w:p w14:paraId="201519C5" w14:textId="66B34731"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Ask a question or make a comment that encourages another person to elaborate on something they have already said.</w:t>
      </w:r>
    </w:p>
    <w:p w14:paraId="40B6EF63" w14:textId="78FB1EE5"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Make a comment that underscores the link between two people’s contributions.</w:t>
      </w:r>
    </w:p>
    <w:p w14:paraId="69295EEC" w14:textId="1E0004CC"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Use body language to show interest in what different speakers are saying.</w:t>
      </w:r>
    </w:p>
    <w:p w14:paraId="42F08F04" w14:textId="49AB32E8"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Make a specific comment indicating how you found another person’s ideas interesting/useful.</w:t>
      </w:r>
    </w:p>
    <w:p w14:paraId="6E3888FB" w14:textId="4EEFA53C"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Contribute something that builds on what someone else has said. Be explicit about the way you are building on the other person’s thoughts.</w:t>
      </w:r>
    </w:p>
    <w:p w14:paraId="4D13FAE1" w14:textId="5A968386"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Make a comment that at least partly paraphrases and credits a point someone has made</w:t>
      </w:r>
    </w:p>
    <w:p w14:paraId="1E56C894" w14:textId="70D0D4FC"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 xml:space="preserve">Make a summary observation that </w:t>
      </w:r>
      <w:proofErr w:type="gramStart"/>
      <w:r w:rsidRPr="3006B5EA">
        <w:rPr>
          <w:rFonts w:ascii="Times New Roman" w:eastAsia="Times New Roman" w:hAnsi="Times New Roman" w:cs="Times New Roman"/>
          <w:sz w:val="24"/>
          <w:szCs w:val="24"/>
        </w:rPr>
        <w:t>takes into account</w:t>
      </w:r>
      <w:proofErr w:type="gramEnd"/>
      <w:r w:rsidRPr="3006B5EA">
        <w:rPr>
          <w:rFonts w:ascii="Times New Roman" w:eastAsia="Times New Roman" w:hAnsi="Times New Roman" w:cs="Times New Roman"/>
          <w:sz w:val="24"/>
          <w:szCs w:val="24"/>
        </w:rPr>
        <w:t xml:space="preserve"> several people’s contribution and that touches on a recurring theme in the discussion.</w:t>
      </w:r>
    </w:p>
    <w:p w14:paraId="6E25BFEE" w14:textId="04A53DF3"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Ask a cause and effect question- for example, “can you explain why you think it’s true that if these things are in place such and such a thing will occur?”</w:t>
      </w:r>
    </w:p>
    <w:p w14:paraId="725AD13E" w14:textId="64636E7F"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When you think it’s appropriate, ask the group for a moment’s silence to slow the pace of conversation and give you, and others, time to think.</w:t>
      </w:r>
    </w:p>
    <w:p w14:paraId="29F2C0DA" w14:textId="37CCEBDC"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Find a way to express appreciation for the value you have gained from the discussion. Be specific about what it was that helped you understand something better.</w:t>
      </w:r>
    </w:p>
    <w:p w14:paraId="39AD3AFE" w14:textId="529436CD"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Disagree with someone in a respectful and constructive way.</w:t>
      </w:r>
    </w:p>
    <w:p w14:paraId="17F3610C" w14:textId="0991ABFB" w:rsidR="1B388037" w:rsidRDefault="1B388037" w:rsidP="3006B5EA">
      <w:pPr>
        <w:pStyle w:val="ListParagraph"/>
        <w:numPr>
          <w:ilvl w:val="0"/>
          <w:numId w:val="1"/>
        </w:numPr>
        <w:spacing w:line="276" w:lineRule="auto"/>
        <w:rPr>
          <w:rFonts w:eastAsiaTheme="minorEastAsia"/>
          <w:sz w:val="24"/>
          <w:szCs w:val="24"/>
        </w:rPr>
      </w:pPr>
      <w:r w:rsidRPr="3006B5EA">
        <w:rPr>
          <w:rFonts w:ascii="Times New Roman" w:eastAsia="Times New Roman" w:hAnsi="Times New Roman" w:cs="Times New Roman"/>
          <w:sz w:val="24"/>
          <w:szCs w:val="24"/>
        </w:rPr>
        <w:t>Create space for someone who has not yet spoken to contribute to the conversation.</w:t>
      </w:r>
    </w:p>
    <w:p w14:paraId="2E2AB0C6" w14:textId="4C60BC90" w:rsidR="3006B5EA" w:rsidRDefault="3006B5EA" w:rsidP="3006B5EA">
      <w:pPr>
        <w:spacing w:line="276" w:lineRule="auto"/>
        <w:rPr>
          <w:rFonts w:ascii="Times New Roman" w:eastAsia="Times New Roman" w:hAnsi="Times New Roman" w:cs="Times New Roman"/>
          <w:sz w:val="24"/>
          <w:szCs w:val="24"/>
        </w:rPr>
      </w:pPr>
    </w:p>
    <w:p w14:paraId="12FD438B" w14:textId="739A1BE3" w:rsidR="1B388037" w:rsidRDefault="1B388037" w:rsidP="3006B5EA">
      <w:pPr>
        <w:spacing w:line="276" w:lineRule="auto"/>
        <w:rPr>
          <w:rFonts w:ascii="Times New Roman" w:eastAsia="Times New Roman" w:hAnsi="Times New Roman" w:cs="Times New Roman"/>
          <w:sz w:val="24"/>
          <w:szCs w:val="24"/>
        </w:rPr>
      </w:pPr>
      <w:r w:rsidRPr="3006B5EA">
        <w:rPr>
          <w:rFonts w:ascii="Times New Roman" w:eastAsia="Times New Roman" w:hAnsi="Times New Roman" w:cs="Times New Roman"/>
          <w:sz w:val="24"/>
          <w:szCs w:val="24"/>
        </w:rPr>
        <w:t>*from</w:t>
      </w:r>
      <w:r w:rsidR="00215B29">
        <w:rPr>
          <w:rFonts w:ascii="Times New Roman" w:eastAsia="Times New Roman" w:hAnsi="Times New Roman" w:cs="Times New Roman"/>
          <w:sz w:val="24"/>
          <w:szCs w:val="24"/>
        </w:rPr>
        <w:t xml:space="preserve"> Brookfield and </w:t>
      </w:r>
      <w:proofErr w:type="spellStart"/>
      <w:r w:rsidR="00215B29">
        <w:rPr>
          <w:rFonts w:ascii="Times New Roman" w:eastAsia="Times New Roman" w:hAnsi="Times New Roman" w:cs="Times New Roman"/>
          <w:sz w:val="24"/>
          <w:szCs w:val="24"/>
        </w:rPr>
        <w:t>Preskill</w:t>
      </w:r>
      <w:proofErr w:type="spellEnd"/>
      <w:r w:rsidR="00215B29">
        <w:rPr>
          <w:rFonts w:ascii="Times New Roman" w:eastAsia="Times New Roman" w:hAnsi="Times New Roman" w:cs="Times New Roman"/>
          <w:sz w:val="24"/>
          <w:szCs w:val="24"/>
        </w:rPr>
        <w:t>,</w:t>
      </w:r>
      <w:r w:rsidRPr="3006B5EA">
        <w:rPr>
          <w:rFonts w:ascii="Times New Roman" w:eastAsia="Times New Roman" w:hAnsi="Times New Roman" w:cs="Times New Roman"/>
          <w:sz w:val="24"/>
          <w:szCs w:val="24"/>
        </w:rPr>
        <w:t xml:space="preserve"> </w:t>
      </w:r>
      <w:r w:rsidRPr="3006B5EA">
        <w:rPr>
          <w:rFonts w:ascii="Times New Roman" w:eastAsia="Times New Roman" w:hAnsi="Times New Roman" w:cs="Times New Roman"/>
          <w:i/>
          <w:iCs/>
          <w:sz w:val="24"/>
          <w:szCs w:val="24"/>
        </w:rPr>
        <w:t>Discussion as a Way of Teaching</w:t>
      </w:r>
      <w:r w:rsidR="00215B29">
        <w:rPr>
          <w:rFonts w:ascii="Times New Roman" w:eastAsia="Times New Roman" w:hAnsi="Times New Roman" w:cs="Times New Roman"/>
          <w:i/>
          <w:iCs/>
          <w:sz w:val="24"/>
          <w:szCs w:val="24"/>
        </w:rPr>
        <w:t xml:space="preserve"> </w:t>
      </w:r>
      <w:r w:rsidR="00215B29" w:rsidRPr="00215B29">
        <w:rPr>
          <w:rFonts w:ascii="Times New Roman" w:eastAsia="Times New Roman" w:hAnsi="Times New Roman" w:cs="Times New Roman"/>
          <w:iCs/>
          <w:sz w:val="24"/>
          <w:szCs w:val="24"/>
        </w:rPr>
        <w:t>(1999)</w:t>
      </w:r>
    </w:p>
    <w:p w14:paraId="1EDFC981" w14:textId="189E87E3" w:rsidR="3006B5EA" w:rsidRDefault="3006B5EA" w:rsidP="3006B5EA"/>
    <w:p w14:paraId="5DD5F531" w14:textId="744AD599" w:rsidR="3006B5EA" w:rsidRDefault="3006B5EA" w:rsidP="3006B5EA"/>
    <w:p w14:paraId="03C05376" w14:textId="2604E7A9" w:rsidR="3006B5EA" w:rsidRDefault="3006B5EA" w:rsidP="3006B5EA">
      <w:pPr>
        <w:pStyle w:val="ListParagraph"/>
      </w:pPr>
    </w:p>
    <w:sectPr w:rsidR="3006B5EA">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42FDF" w14:textId="77777777" w:rsidR="002C3F8F" w:rsidRDefault="002C3F8F" w:rsidP="009C024A">
      <w:pPr>
        <w:spacing w:after="0" w:line="240" w:lineRule="auto"/>
      </w:pPr>
      <w:r>
        <w:separator/>
      </w:r>
    </w:p>
  </w:endnote>
  <w:endnote w:type="continuationSeparator" w:id="0">
    <w:p w14:paraId="320466CD" w14:textId="77777777" w:rsidR="002C3F8F" w:rsidRDefault="002C3F8F" w:rsidP="009C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1EFC9" w14:textId="597D50AB" w:rsidR="009C024A" w:rsidRDefault="009C024A">
    <w:pPr>
      <w:pStyle w:val="Footer"/>
    </w:pPr>
    <w:r>
      <w:t>Created and compiled by Lauren Bastien, UO Teaching Engagement Program,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7A10F" w14:textId="77777777" w:rsidR="002C3F8F" w:rsidRDefault="002C3F8F" w:rsidP="009C024A">
      <w:pPr>
        <w:spacing w:after="0" w:line="240" w:lineRule="auto"/>
      </w:pPr>
      <w:r>
        <w:separator/>
      </w:r>
    </w:p>
  </w:footnote>
  <w:footnote w:type="continuationSeparator" w:id="0">
    <w:p w14:paraId="4469C09F" w14:textId="77777777" w:rsidR="002C3F8F" w:rsidRDefault="002C3F8F" w:rsidP="009C0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B6C3A"/>
    <w:multiLevelType w:val="hybridMultilevel"/>
    <w:tmpl w:val="82F8D63A"/>
    <w:lvl w:ilvl="0" w:tplc="FD24D77A">
      <w:start w:val="1"/>
      <w:numFmt w:val="bullet"/>
      <w:lvlText w:val="·"/>
      <w:lvlJc w:val="left"/>
      <w:pPr>
        <w:ind w:left="720" w:hanging="360"/>
      </w:pPr>
      <w:rPr>
        <w:rFonts w:ascii="Symbol" w:hAnsi="Symbol" w:hint="default"/>
      </w:rPr>
    </w:lvl>
    <w:lvl w:ilvl="1" w:tplc="1890B76A">
      <w:start w:val="1"/>
      <w:numFmt w:val="bullet"/>
      <w:lvlText w:val="o"/>
      <w:lvlJc w:val="left"/>
      <w:pPr>
        <w:ind w:left="1440" w:hanging="360"/>
      </w:pPr>
      <w:rPr>
        <w:rFonts w:ascii="Courier New" w:hAnsi="Courier New" w:hint="default"/>
      </w:rPr>
    </w:lvl>
    <w:lvl w:ilvl="2" w:tplc="0C4ABBD8">
      <w:start w:val="1"/>
      <w:numFmt w:val="bullet"/>
      <w:lvlText w:val=""/>
      <w:lvlJc w:val="left"/>
      <w:pPr>
        <w:ind w:left="2160" w:hanging="360"/>
      </w:pPr>
      <w:rPr>
        <w:rFonts w:ascii="Wingdings" w:hAnsi="Wingdings" w:hint="default"/>
      </w:rPr>
    </w:lvl>
    <w:lvl w:ilvl="3" w:tplc="C5D8646C">
      <w:start w:val="1"/>
      <w:numFmt w:val="bullet"/>
      <w:lvlText w:val=""/>
      <w:lvlJc w:val="left"/>
      <w:pPr>
        <w:ind w:left="2880" w:hanging="360"/>
      </w:pPr>
      <w:rPr>
        <w:rFonts w:ascii="Symbol" w:hAnsi="Symbol" w:hint="default"/>
      </w:rPr>
    </w:lvl>
    <w:lvl w:ilvl="4" w:tplc="DC4A9498">
      <w:start w:val="1"/>
      <w:numFmt w:val="bullet"/>
      <w:lvlText w:val="o"/>
      <w:lvlJc w:val="left"/>
      <w:pPr>
        <w:ind w:left="3600" w:hanging="360"/>
      </w:pPr>
      <w:rPr>
        <w:rFonts w:ascii="Courier New" w:hAnsi="Courier New" w:hint="default"/>
      </w:rPr>
    </w:lvl>
    <w:lvl w:ilvl="5" w:tplc="13B688B4">
      <w:start w:val="1"/>
      <w:numFmt w:val="bullet"/>
      <w:lvlText w:val=""/>
      <w:lvlJc w:val="left"/>
      <w:pPr>
        <w:ind w:left="4320" w:hanging="360"/>
      </w:pPr>
      <w:rPr>
        <w:rFonts w:ascii="Wingdings" w:hAnsi="Wingdings" w:hint="default"/>
      </w:rPr>
    </w:lvl>
    <w:lvl w:ilvl="6" w:tplc="CB1EC0C8">
      <w:start w:val="1"/>
      <w:numFmt w:val="bullet"/>
      <w:lvlText w:val=""/>
      <w:lvlJc w:val="left"/>
      <w:pPr>
        <w:ind w:left="5040" w:hanging="360"/>
      </w:pPr>
      <w:rPr>
        <w:rFonts w:ascii="Symbol" w:hAnsi="Symbol" w:hint="default"/>
      </w:rPr>
    </w:lvl>
    <w:lvl w:ilvl="7" w:tplc="627C8F88">
      <w:start w:val="1"/>
      <w:numFmt w:val="bullet"/>
      <w:lvlText w:val="o"/>
      <w:lvlJc w:val="left"/>
      <w:pPr>
        <w:ind w:left="5760" w:hanging="360"/>
      </w:pPr>
      <w:rPr>
        <w:rFonts w:ascii="Courier New" w:hAnsi="Courier New" w:hint="default"/>
      </w:rPr>
    </w:lvl>
    <w:lvl w:ilvl="8" w:tplc="E9B0A076">
      <w:start w:val="1"/>
      <w:numFmt w:val="bullet"/>
      <w:lvlText w:val=""/>
      <w:lvlJc w:val="left"/>
      <w:pPr>
        <w:ind w:left="6480" w:hanging="360"/>
      </w:pPr>
      <w:rPr>
        <w:rFonts w:ascii="Wingdings" w:hAnsi="Wingdings" w:hint="default"/>
      </w:rPr>
    </w:lvl>
  </w:abstractNum>
  <w:abstractNum w:abstractNumId="1" w15:restartNumberingAfterBreak="0">
    <w:nsid w:val="2C0A2BF3"/>
    <w:multiLevelType w:val="hybridMultilevel"/>
    <w:tmpl w:val="82B6E544"/>
    <w:lvl w:ilvl="0" w:tplc="05C2455A">
      <w:start w:val="1"/>
      <w:numFmt w:val="decimal"/>
      <w:lvlText w:val="%1."/>
      <w:lvlJc w:val="left"/>
      <w:pPr>
        <w:ind w:left="720" w:hanging="360"/>
      </w:pPr>
      <w:rPr>
        <w:rFonts w:hint="default"/>
      </w:rPr>
    </w:lvl>
    <w:lvl w:ilvl="1" w:tplc="E7E002FC">
      <w:start w:val="1"/>
      <w:numFmt w:val="lowerLetter"/>
      <w:lvlText w:val="%2."/>
      <w:lvlJc w:val="left"/>
      <w:pPr>
        <w:ind w:left="1440" w:hanging="360"/>
      </w:pPr>
      <w:rPr>
        <w:rFonts w:hint="default"/>
      </w:rPr>
    </w:lvl>
    <w:lvl w:ilvl="2" w:tplc="F6687E9A">
      <w:start w:val="1"/>
      <w:numFmt w:val="bullet"/>
      <w:lvlText w:val=""/>
      <w:lvlJc w:val="left"/>
      <w:pPr>
        <w:ind w:left="2160" w:hanging="360"/>
      </w:pPr>
      <w:rPr>
        <w:rFonts w:ascii="Wingdings" w:hAnsi="Wingdings" w:hint="default"/>
      </w:rPr>
    </w:lvl>
    <w:lvl w:ilvl="3" w:tplc="3C505314">
      <w:start w:val="1"/>
      <w:numFmt w:val="bullet"/>
      <w:lvlText w:val=""/>
      <w:lvlJc w:val="left"/>
      <w:pPr>
        <w:ind w:left="2880" w:hanging="360"/>
      </w:pPr>
      <w:rPr>
        <w:rFonts w:ascii="Symbol" w:hAnsi="Symbol" w:hint="default"/>
      </w:rPr>
    </w:lvl>
    <w:lvl w:ilvl="4" w:tplc="BB287EE8">
      <w:start w:val="1"/>
      <w:numFmt w:val="bullet"/>
      <w:lvlText w:val="o"/>
      <w:lvlJc w:val="left"/>
      <w:pPr>
        <w:ind w:left="3600" w:hanging="360"/>
      </w:pPr>
      <w:rPr>
        <w:rFonts w:ascii="Courier New" w:hAnsi="Courier New" w:hint="default"/>
      </w:rPr>
    </w:lvl>
    <w:lvl w:ilvl="5" w:tplc="FE6401B8">
      <w:start w:val="1"/>
      <w:numFmt w:val="bullet"/>
      <w:lvlText w:val=""/>
      <w:lvlJc w:val="left"/>
      <w:pPr>
        <w:ind w:left="4320" w:hanging="360"/>
      </w:pPr>
      <w:rPr>
        <w:rFonts w:ascii="Wingdings" w:hAnsi="Wingdings" w:hint="default"/>
      </w:rPr>
    </w:lvl>
    <w:lvl w:ilvl="6" w:tplc="634A65F2">
      <w:start w:val="1"/>
      <w:numFmt w:val="bullet"/>
      <w:lvlText w:val=""/>
      <w:lvlJc w:val="left"/>
      <w:pPr>
        <w:ind w:left="5040" w:hanging="360"/>
      </w:pPr>
      <w:rPr>
        <w:rFonts w:ascii="Symbol" w:hAnsi="Symbol" w:hint="default"/>
      </w:rPr>
    </w:lvl>
    <w:lvl w:ilvl="7" w:tplc="91527FB8">
      <w:start w:val="1"/>
      <w:numFmt w:val="bullet"/>
      <w:lvlText w:val="o"/>
      <w:lvlJc w:val="left"/>
      <w:pPr>
        <w:ind w:left="5760" w:hanging="360"/>
      </w:pPr>
      <w:rPr>
        <w:rFonts w:ascii="Courier New" w:hAnsi="Courier New" w:hint="default"/>
      </w:rPr>
    </w:lvl>
    <w:lvl w:ilvl="8" w:tplc="3140BFD8">
      <w:start w:val="1"/>
      <w:numFmt w:val="bullet"/>
      <w:lvlText w:val=""/>
      <w:lvlJc w:val="left"/>
      <w:pPr>
        <w:ind w:left="6480" w:hanging="360"/>
      </w:pPr>
      <w:rPr>
        <w:rFonts w:ascii="Wingdings" w:hAnsi="Wingdings" w:hint="default"/>
      </w:rPr>
    </w:lvl>
  </w:abstractNum>
  <w:abstractNum w:abstractNumId="2" w15:restartNumberingAfterBreak="0">
    <w:nsid w:val="6C042140"/>
    <w:multiLevelType w:val="hybridMultilevel"/>
    <w:tmpl w:val="777AF1A0"/>
    <w:lvl w:ilvl="0" w:tplc="1F60132E">
      <w:start w:val="1"/>
      <w:numFmt w:val="bullet"/>
      <w:lvlText w:val=""/>
      <w:lvlJc w:val="left"/>
      <w:pPr>
        <w:ind w:left="720" w:hanging="360"/>
      </w:pPr>
      <w:rPr>
        <w:rFonts w:ascii="Symbol" w:hAnsi="Symbol" w:hint="default"/>
      </w:rPr>
    </w:lvl>
    <w:lvl w:ilvl="1" w:tplc="4A16A59C">
      <w:start w:val="1"/>
      <w:numFmt w:val="bullet"/>
      <w:lvlText w:val="o"/>
      <w:lvlJc w:val="left"/>
      <w:pPr>
        <w:ind w:left="1440" w:hanging="360"/>
      </w:pPr>
      <w:rPr>
        <w:rFonts w:ascii="Courier New" w:hAnsi="Courier New" w:hint="default"/>
      </w:rPr>
    </w:lvl>
    <w:lvl w:ilvl="2" w:tplc="EDE642D6">
      <w:start w:val="1"/>
      <w:numFmt w:val="bullet"/>
      <w:lvlText w:val=""/>
      <w:lvlJc w:val="left"/>
      <w:pPr>
        <w:ind w:left="2160" w:hanging="360"/>
      </w:pPr>
      <w:rPr>
        <w:rFonts w:ascii="Wingdings" w:hAnsi="Wingdings" w:hint="default"/>
      </w:rPr>
    </w:lvl>
    <w:lvl w:ilvl="3" w:tplc="7A1E4C2C">
      <w:start w:val="1"/>
      <w:numFmt w:val="bullet"/>
      <w:lvlText w:val=""/>
      <w:lvlJc w:val="left"/>
      <w:pPr>
        <w:ind w:left="2880" w:hanging="360"/>
      </w:pPr>
      <w:rPr>
        <w:rFonts w:ascii="Symbol" w:hAnsi="Symbol" w:hint="default"/>
      </w:rPr>
    </w:lvl>
    <w:lvl w:ilvl="4" w:tplc="8D90618E">
      <w:start w:val="1"/>
      <w:numFmt w:val="bullet"/>
      <w:lvlText w:val="o"/>
      <w:lvlJc w:val="left"/>
      <w:pPr>
        <w:ind w:left="3600" w:hanging="360"/>
      </w:pPr>
      <w:rPr>
        <w:rFonts w:ascii="Courier New" w:hAnsi="Courier New" w:hint="default"/>
      </w:rPr>
    </w:lvl>
    <w:lvl w:ilvl="5" w:tplc="1A9C2296">
      <w:start w:val="1"/>
      <w:numFmt w:val="bullet"/>
      <w:lvlText w:val=""/>
      <w:lvlJc w:val="left"/>
      <w:pPr>
        <w:ind w:left="4320" w:hanging="360"/>
      </w:pPr>
      <w:rPr>
        <w:rFonts w:ascii="Wingdings" w:hAnsi="Wingdings" w:hint="default"/>
      </w:rPr>
    </w:lvl>
    <w:lvl w:ilvl="6" w:tplc="31D8A7DC">
      <w:start w:val="1"/>
      <w:numFmt w:val="bullet"/>
      <w:lvlText w:val=""/>
      <w:lvlJc w:val="left"/>
      <w:pPr>
        <w:ind w:left="5040" w:hanging="360"/>
      </w:pPr>
      <w:rPr>
        <w:rFonts w:ascii="Symbol" w:hAnsi="Symbol" w:hint="default"/>
      </w:rPr>
    </w:lvl>
    <w:lvl w:ilvl="7" w:tplc="5628A3F6">
      <w:start w:val="1"/>
      <w:numFmt w:val="bullet"/>
      <w:lvlText w:val="o"/>
      <w:lvlJc w:val="left"/>
      <w:pPr>
        <w:ind w:left="5760" w:hanging="360"/>
      </w:pPr>
      <w:rPr>
        <w:rFonts w:ascii="Courier New" w:hAnsi="Courier New" w:hint="default"/>
      </w:rPr>
    </w:lvl>
    <w:lvl w:ilvl="8" w:tplc="961E9AB0">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3F25B6"/>
    <w:rsid w:val="00215B29"/>
    <w:rsid w:val="002C3F8F"/>
    <w:rsid w:val="009C024A"/>
    <w:rsid w:val="00B93BA9"/>
    <w:rsid w:val="012D8DC5"/>
    <w:rsid w:val="013DDA05"/>
    <w:rsid w:val="014A1E30"/>
    <w:rsid w:val="015A09FA"/>
    <w:rsid w:val="01772BAF"/>
    <w:rsid w:val="017AA45E"/>
    <w:rsid w:val="01BADF82"/>
    <w:rsid w:val="02CB7727"/>
    <w:rsid w:val="033C94FB"/>
    <w:rsid w:val="037E169A"/>
    <w:rsid w:val="046F350E"/>
    <w:rsid w:val="04BF3CFF"/>
    <w:rsid w:val="04DEFE9F"/>
    <w:rsid w:val="0553910C"/>
    <w:rsid w:val="05DE3792"/>
    <w:rsid w:val="061452C0"/>
    <w:rsid w:val="0640E9B7"/>
    <w:rsid w:val="07203E47"/>
    <w:rsid w:val="07A6D5D0"/>
    <w:rsid w:val="07A9DD8B"/>
    <w:rsid w:val="08081898"/>
    <w:rsid w:val="08FBDB8B"/>
    <w:rsid w:val="094BF382"/>
    <w:rsid w:val="096EB3F6"/>
    <w:rsid w:val="09C60593"/>
    <w:rsid w:val="09D673E4"/>
    <w:rsid w:val="0A37C39D"/>
    <w:rsid w:val="0B5A3E52"/>
    <w:rsid w:val="0BC5511A"/>
    <w:rsid w:val="0C8DC0E2"/>
    <w:rsid w:val="0CB8826F"/>
    <w:rsid w:val="0CCA4EE4"/>
    <w:rsid w:val="0DF6145D"/>
    <w:rsid w:val="0E9E9851"/>
    <w:rsid w:val="0EE7BCB0"/>
    <w:rsid w:val="0FD3AEC0"/>
    <w:rsid w:val="109BA421"/>
    <w:rsid w:val="119DC007"/>
    <w:rsid w:val="11E48AAD"/>
    <w:rsid w:val="132C3F15"/>
    <w:rsid w:val="149693AF"/>
    <w:rsid w:val="14D8E881"/>
    <w:rsid w:val="156F1544"/>
    <w:rsid w:val="1594F3C9"/>
    <w:rsid w:val="15D31DB9"/>
    <w:rsid w:val="16B4F929"/>
    <w:rsid w:val="17794DD3"/>
    <w:rsid w:val="178F92BC"/>
    <w:rsid w:val="1AADCFB6"/>
    <w:rsid w:val="1B388037"/>
    <w:rsid w:val="1C92A26E"/>
    <w:rsid w:val="1DE57078"/>
    <w:rsid w:val="1EC4A5E9"/>
    <w:rsid w:val="1F294B62"/>
    <w:rsid w:val="1F681379"/>
    <w:rsid w:val="1FBED113"/>
    <w:rsid w:val="211AE479"/>
    <w:rsid w:val="217AB3E4"/>
    <w:rsid w:val="21B14F10"/>
    <w:rsid w:val="21F97211"/>
    <w:rsid w:val="226B6722"/>
    <w:rsid w:val="25761738"/>
    <w:rsid w:val="25949B8E"/>
    <w:rsid w:val="261E24A6"/>
    <w:rsid w:val="262B6212"/>
    <w:rsid w:val="277AFF85"/>
    <w:rsid w:val="27B9F507"/>
    <w:rsid w:val="28BC3599"/>
    <w:rsid w:val="295B7578"/>
    <w:rsid w:val="2A5AC332"/>
    <w:rsid w:val="2AB2B8A9"/>
    <w:rsid w:val="2B1FF255"/>
    <w:rsid w:val="2B25156E"/>
    <w:rsid w:val="2C05B77F"/>
    <w:rsid w:val="2C93163A"/>
    <w:rsid w:val="2CCF1528"/>
    <w:rsid w:val="2D660FD6"/>
    <w:rsid w:val="2DABC8BF"/>
    <w:rsid w:val="2DEE5736"/>
    <w:rsid w:val="2E2419CA"/>
    <w:rsid w:val="2F74EEF5"/>
    <w:rsid w:val="3006B5EA"/>
    <w:rsid w:val="3024E9E9"/>
    <w:rsid w:val="31D689BF"/>
    <w:rsid w:val="31E4C2D9"/>
    <w:rsid w:val="32C178BC"/>
    <w:rsid w:val="333771C4"/>
    <w:rsid w:val="33415B6A"/>
    <w:rsid w:val="33D74244"/>
    <w:rsid w:val="34599AEF"/>
    <w:rsid w:val="3493CBD1"/>
    <w:rsid w:val="3510F17E"/>
    <w:rsid w:val="35E43079"/>
    <w:rsid w:val="363FDABC"/>
    <w:rsid w:val="3663A069"/>
    <w:rsid w:val="37278F1A"/>
    <w:rsid w:val="387D111E"/>
    <w:rsid w:val="39C76661"/>
    <w:rsid w:val="3AC8A57A"/>
    <w:rsid w:val="3B155729"/>
    <w:rsid w:val="3B3F319A"/>
    <w:rsid w:val="3BCA9E81"/>
    <w:rsid w:val="3BFB7C86"/>
    <w:rsid w:val="3CB1278A"/>
    <w:rsid w:val="3D586FC7"/>
    <w:rsid w:val="3D7E248A"/>
    <w:rsid w:val="3E8614F5"/>
    <w:rsid w:val="3FE8C84C"/>
    <w:rsid w:val="41356E21"/>
    <w:rsid w:val="421AA613"/>
    <w:rsid w:val="42A98B24"/>
    <w:rsid w:val="42BF332A"/>
    <w:rsid w:val="43B22DF6"/>
    <w:rsid w:val="44633860"/>
    <w:rsid w:val="448EFA08"/>
    <w:rsid w:val="454A594F"/>
    <w:rsid w:val="45ABF994"/>
    <w:rsid w:val="4649559A"/>
    <w:rsid w:val="46FB6DE5"/>
    <w:rsid w:val="479624A4"/>
    <w:rsid w:val="483AACD1"/>
    <w:rsid w:val="486B39A4"/>
    <w:rsid w:val="487B5915"/>
    <w:rsid w:val="488EFF51"/>
    <w:rsid w:val="48A8C1C0"/>
    <w:rsid w:val="49DEFD58"/>
    <w:rsid w:val="4AB824C1"/>
    <w:rsid w:val="4ABB95AA"/>
    <w:rsid w:val="4B118D65"/>
    <w:rsid w:val="4B1F21F2"/>
    <w:rsid w:val="4B4E5184"/>
    <w:rsid w:val="4BD114C8"/>
    <w:rsid w:val="4C3F25B6"/>
    <w:rsid w:val="4C53F522"/>
    <w:rsid w:val="4CFBD23F"/>
    <w:rsid w:val="4D142436"/>
    <w:rsid w:val="4D33BFCF"/>
    <w:rsid w:val="4D800461"/>
    <w:rsid w:val="4E99461E"/>
    <w:rsid w:val="4EA133A4"/>
    <w:rsid w:val="4EE1EF79"/>
    <w:rsid w:val="4FE78260"/>
    <w:rsid w:val="50B8D086"/>
    <w:rsid w:val="5112A3B6"/>
    <w:rsid w:val="51217948"/>
    <w:rsid w:val="51276645"/>
    <w:rsid w:val="51BFAC09"/>
    <w:rsid w:val="51D0E6E0"/>
    <w:rsid w:val="5217A180"/>
    <w:rsid w:val="5228DC57"/>
    <w:rsid w:val="528B239B"/>
    <w:rsid w:val="53084948"/>
    <w:rsid w:val="5374A4C7"/>
    <w:rsid w:val="54DC58F8"/>
    <w:rsid w:val="55107528"/>
    <w:rsid w:val="55415938"/>
    <w:rsid w:val="56698441"/>
    <w:rsid w:val="56A45803"/>
    <w:rsid w:val="56AC4589"/>
    <w:rsid w:val="580938CA"/>
    <w:rsid w:val="58CD3843"/>
    <w:rsid w:val="598BE0CE"/>
    <w:rsid w:val="59D97EE1"/>
    <w:rsid w:val="59E3E64B"/>
    <w:rsid w:val="5AFA2D55"/>
    <w:rsid w:val="5C782BE8"/>
    <w:rsid w:val="5C991E5C"/>
    <w:rsid w:val="5CDCA9ED"/>
    <w:rsid w:val="5CEE24F0"/>
    <w:rsid w:val="5D181849"/>
    <w:rsid w:val="5E5F51F1"/>
    <w:rsid w:val="5EA319F0"/>
    <w:rsid w:val="5EB85E25"/>
    <w:rsid w:val="5EF62488"/>
    <w:rsid w:val="5FFAE607"/>
    <w:rsid w:val="6141EFDD"/>
    <w:rsid w:val="64169A9D"/>
    <w:rsid w:val="64BE8C02"/>
    <w:rsid w:val="6698061F"/>
    <w:rsid w:val="6701366D"/>
    <w:rsid w:val="67480113"/>
    <w:rsid w:val="6833D680"/>
    <w:rsid w:val="6947953D"/>
    <w:rsid w:val="69B285C0"/>
    <w:rsid w:val="6A279C58"/>
    <w:rsid w:val="6A89CE81"/>
    <w:rsid w:val="6B06D045"/>
    <w:rsid w:val="6B49C04A"/>
    <w:rsid w:val="6B7CB219"/>
    <w:rsid w:val="6BDF1C19"/>
    <w:rsid w:val="6C3F373E"/>
    <w:rsid w:val="6D4F404B"/>
    <w:rsid w:val="6F8EED71"/>
    <w:rsid w:val="6FA6A2A1"/>
    <w:rsid w:val="6FBD49FD"/>
    <w:rsid w:val="706C32C3"/>
    <w:rsid w:val="7089A80A"/>
    <w:rsid w:val="70B00639"/>
    <w:rsid w:val="7159C06D"/>
    <w:rsid w:val="73654E50"/>
    <w:rsid w:val="74625E94"/>
    <w:rsid w:val="755B9C39"/>
    <w:rsid w:val="75FE2EF5"/>
    <w:rsid w:val="76175752"/>
    <w:rsid w:val="7722CF75"/>
    <w:rsid w:val="776A6ED5"/>
    <w:rsid w:val="7849FA4A"/>
    <w:rsid w:val="787280EB"/>
    <w:rsid w:val="78B8E661"/>
    <w:rsid w:val="793316C8"/>
    <w:rsid w:val="793438A0"/>
    <w:rsid w:val="794FFECB"/>
    <w:rsid w:val="7B627E7E"/>
    <w:rsid w:val="7C80401B"/>
    <w:rsid w:val="7DDC8216"/>
    <w:rsid w:val="7DF80603"/>
    <w:rsid w:val="7E112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25B6"/>
  <w15:chartTrackingRefBased/>
  <w15:docId w15:val="{8312131B-822F-4FC7-99D7-A52A94C7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B93BA9"/>
    <w:rPr>
      <w:color w:val="954F72" w:themeColor="followedHyperlink"/>
      <w:u w:val="single"/>
    </w:rPr>
  </w:style>
  <w:style w:type="paragraph" w:styleId="Header">
    <w:name w:val="header"/>
    <w:basedOn w:val="Normal"/>
    <w:link w:val="HeaderChar"/>
    <w:uiPriority w:val="99"/>
    <w:unhideWhenUsed/>
    <w:rsid w:val="009C0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24A"/>
  </w:style>
  <w:style w:type="paragraph" w:styleId="Footer">
    <w:name w:val="footer"/>
    <w:basedOn w:val="Normal"/>
    <w:link w:val="FooterChar"/>
    <w:uiPriority w:val="99"/>
    <w:unhideWhenUsed/>
    <w:rsid w:val="009C0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eratingstructures.de/wp-content/uploads/2019/01/Liberating-Strategy.pdf" TargetMode="External"/><Relationship Id="rId13" Type="http://schemas.openxmlformats.org/officeDocument/2006/relationships/hyperlink" Target="https://uoregon.sharepoint.com/:b:/s/O365_TeachingEngagementProgram/EVXap_0GFyBDlYPgwgaZZ1MBRnrQ6nQ5Q10HNXYr4HQ5Jw?e=3SJbLt" TargetMode="External"/><Relationship Id="rId3" Type="http://schemas.openxmlformats.org/officeDocument/2006/relationships/settings" Target="settings.xml"/><Relationship Id="rId7" Type="http://schemas.openxmlformats.org/officeDocument/2006/relationships/hyperlink" Target="https://www.gse.harvard.edu/sites/default/files/Protocols_Handout.pdf" TargetMode="External"/><Relationship Id="rId12" Type="http://schemas.openxmlformats.org/officeDocument/2006/relationships/hyperlink" Target="https://uoregon.sharepoint.com/:w:/s/O365_TeachingEngagementProgram/EQ2QqMDYcVdEkHgT25KmbugBG2jz8Ug5jSy5jw4oLANMtw?e=53hq5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oregon.sharepoint.com/:b:/s/O365_TeachingEngagementProgram/ERZpCOsINj9Mi8PQCXNps6EBFcEOPrgDNNMWNnHN6FvGP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virtual-liberating-structures.gdes.app/getting-started" TargetMode="External"/><Relationship Id="rId4" Type="http://schemas.openxmlformats.org/officeDocument/2006/relationships/webSettings" Target="webSettings.xml"/><Relationship Id="rId9" Type="http://schemas.openxmlformats.org/officeDocument/2006/relationships/hyperlink" Target="https://www.liberatingstructures.com/" TargetMode="External"/><Relationship Id="rId14" Type="http://schemas.openxmlformats.org/officeDocument/2006/relationships/hyperlink" Target="https://www.wiley.com/en-us/The+Discussion+Book%3A+50+Great+Ways+to+Get+People+Talking-p-9781119049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3</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Bastian</dc:creator>
  <cp:keywords/>
  <dc:description/>
  <cp:lastModifiedBy>Jason Schreiner</cp:lastModifiedBy>
  <cp:revision>3</cp:revision>
  <dcterms:created xsi:type="dcterms:W3CDTF">2023-05-09T21:19:00Z</dcterms:created>
  <dcterms:modified xsi:type="dcterms:W3CDTF">2023-07-14T00:24:00Z</dcterms:modified>
</cp:coreProperties>
</file>